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«Арендатор», в лице директора И. И. Иванова, действующего на основании устава,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долгосрочный"/>
    <w:p>
      <w:pPr>
        <w:pStyle w:val="Heading2"/>
      </w:pPr>
      <w:r>
        <w:t xml:space="preserve">№ ____ (долгосрочный)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Арендодатель передаёт, а Арендатор принимает во временное владение и пользование нежилое помещение общей площадью 240 кв. м, кадастровый номер 77:01:0000000:0000, по адресу: г. Москва, ул. Примерная, д. 1, пом. 2, для размещения офиса и склада.</w:t>
      </w:r>
    </w:p>
    <w:p>
      <w:pPr>
        <w:pStyle w:val="BodyText"/>
      </w:pPr>
      <w:r>
        <w:t xml:space="preserve">2. Срок. Помещение передаётся на 5 лет — с 1 декабря 2026 года по 30 ноября 2031 года. Договор подлежит государственной регистрации в Росреестре и считается заключённым с даты регистрации.</w:t>
      </w:r>
    </w:p>
    <w:p>
      <w:pPr>
        <w:pStyle w:val="BodyText"/>
      </w:pPr>
      <w:r>
        <w:t xml:space="preserve">3. Арендная плата. Ежемесячная плата — 480 000 рублей, НДС не облагается. Плата вносится не позднее 5-го числа оплачиваемого месяца. Размер платы пересматривается не чаще одного раза в год.</w:t>
      </w:r>
    </w:p>
    <w:p>
      <w:pPr>
        <w:pStyle w:val="BodyText"/>
      </w:pPr>
      <w:r>
        <w:t xml:space="preserve">4. Передача и возврат. Помещение передаётся по акту приёма-передачи в течение 5 рабочих дней с даты регистрации договора. При возврате Арендатор передаёт помещение в состоянии, в котором получил, с учётом нормального износа.</w:t>
      </w:r>
    </w:p>
    <w:p>
      <w:pPr>
        <w:pStyle w:val="BodyText"/>
      </w:pPr>
      <w:r>
        <w:t xml:space="preserve">5. Расторжение. Арендатор вправе отказаться от договора, предупредив Арендодателя за 3 месяца. Арендодатель вправе отказаться от договора при просрочке платы два раза подряд.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2026-11-04T20:32:21Z</dcterms:created>
  <dcterms:modified xsi:type="dcterms:W3CDTF">2026-11-04T20:32:21Z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