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 имущества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p>
      <w:pPr>
        <w:pStyle w:val="BodyText"/>
      </w:pPr>
      <w:r>
        <w:t xml:space="preserve">ООО «Ромашка», в лице генерального директора Петрова Петра Петровича, действующего на основании устава, именуемое «Залогодержатель», с одной стороны, и</w:t>
      </w:r>
    </w:p>
    <w:p>
      <w:pPr>
        <w:pStyle w:val="BodyText"/>
      </w:pPr>
      <w:r>
        <w:t xml:space="preserve">ООО «Василёк», в лице директора Иванова Ивана Ивановича, действующего на основании устава, именуемое «Залогодатель», с другой стороны, заключили договор о нижеследующем:</w:t>
      </w:r>
    </w:p>
    <w:bookmarkStart w:id="10" w:name="договор-залога-имущества"/>
    <w:p>
      <w:pPr>
        <w:pStyle w:val="Heading1"/>
      </w:pPr>
      <w:r>
        <w:t xml:space="preserve">Договор залога имущества</w:t>
      </w:r>
    </w:p>
    <w:bookmarkStart w:id="9" w:name="Xe7548ec1526e182339f302bdf531c5739acb2ce"/>
    <w:p>
      <w:pPr>
        <w:pStyle w:val="Heading2"/>
      </w:pPr>
      <w:r>
        <w:t xml:space="preserve">без передачи заложенного имущества залогодержателю</w:t>
      </w:r>
    </w:p>
    <w:p>
      <w:pPr>
        <w:pStyle w:val="FirstParagraph"/>
      </w:pPr>
      <w:r>
        <w:t xml:space="preserve">№ 3</w:t>
      </w:r>
    </w:p>
    <w:p>
      <w:pPr>
        <w:pStyle w:val="BodyText"/>
      </w:pPr>
      <w:r>
        <w:t xml:space="preserve">1. Предмет договора. 1.1. В обеспечение исполнения обязательств по договору поставки № 12 от 1 октября 2026 г. (основной договор), заключённому между Залогодержателем и Залогодателем, Залогодатель передаёт в залог Залогодержателю принадлежащее ему на праве собственности имущество: автомобиль грузовой, марка, модель, 2024 года выпуска, идентификационный номер (VIN) …, государственный регистрационный знак … (предмет залога).</w:t>
      </w:r>
    </w:p>
    <w:p>
      <w:pPr>
        <w:pStyle w:val="BodyText"/>
      </w:pPr>
      <w:r>
        <w:t xml:space="preserve">1.2. Предмет залога остаётся во владении и пользовании Залогодателя. Залогодатель не вправе отчуждать предмет залога или передавать его в последующий залог без письменного согласия Залогодержателя.</w:t>
      </w:r>
    </w:p>
    <w:p>
      <w:pPr>
        <w:pStyle w:val="BodyText"/>
      </w:pPr>
      <w:r>
        <w:t xml:space="preserve">1.3. Стоимость предмета залога по соглашению сторон составляет 1 200 000 рублей.</w:t>
      </w:r>
    </w:p>
    <w:p>
      <w:pPr>
        <w:pStyle w:val="BodyText"/>
      </w:pPr>
      <w:r>
        <w:t xml:space="preserve">2. Обеспеченное обязательство. 2.1. Залогом обеспечивается исполнение обязательства по оплате товара на сумму 800 000 рублей, срок оплаты — 15 января 2027 г., а также неустойки и убытков, которые могут возникнуть при неисполнении основного договора.</w:t>
      </w:r>
    </w:p>
    <w:p>
      <w:pPr>
        <w:pStyle w:val="BodyText"/>
      </w:pPr>
      <w:r>
        <w:t xml:space="preserve">3. Права и обязанности сторон. 3.1. Залогодержатель вправе проверить наличие и состояние предмета залога. 3.2. Залогодатель обязан страховать предмет залога и сообщать Залогодержателю о любых обременениях. 3.3. Залогодержатель вправе обратить взыскание на предмет залога в случае неисполнения обеспеченного обязательства.</w:t>
      </w:r>
    </w:p>
    <w:p>
      <w:pPr>
        <w:pStyle w:val="BodyText"/>
      </w:pPr>
      <w:r>
        <w:t xml:space="preserve">4. Заключительные положения. 4.1. Договор вступает в силу с момента подписания и действует до полного исполнения обеспеченного обязательства. 4.2. Договор составлен в трёх экземплярах, имеющих равную юридическую силу, по одному для каждой стороны и один для органа, осуществляющего регистрацию.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имущества</dc:title>
  <dc:creator/>
  <dc:language>ru</dc:language>
  <cp:keywords/>
  <dcterms:created xsi:type="dcterms:W3CDTF">2026-11-02T20:32:15Z</dcterms:created>
  <dcterms:modified xsi:type="dcterms:W3CDTF">2026-11-02T20:32:15Z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