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Договор-заявка на перевозку груза автомобильным транспортом</w:t>
      </w:r>
    </w:p>
    <w:p>
      <w:pPr>
        <w:pStyle w:val="FirstParagraph"/>
      </w:pPr>
      <w:r>
        <w:t xml:space="preserve">ООО «Ромашка», 614000, г. Пермь, ул. Ленина, д. 10, ИНН 5900000000</w:t>
      </w:r>
    </w:p>
    <w:p>
      <w:pPr>
        <w:pStyle w:val="BodyText"/>
      </w:pPr>
      <w:r>
        <w:t xml:space="preserve">ИП Сидоров А. В., 620000, г. Екатеринбург, ул. Мира, д. 5, ИНН 660000000000</w:t>
      </w:r>
    </w:p>
    <w:bookmarkStart w:id="10" w:name="X3975cf02a01fac9bea0459db33ad08a3e5325ef"/>
    <w:p>
      <w:pPr>
        <w:pStyle w:val="Heading1"/>
      </w:pPr>
      <w:r>
        <w:t xml:space="preserve">Договор-заявка на перевозку груза автомобильным транспортом</w:t>
      </w:r>
    </w:p>
    <w:bookmarkStart w:id="9" w:name="от-16-ноября-2026-г."/>
    <w:p>
      <w:pPr>
        <w:pStyle w:val="Heading2"/>
      </w:pPr>
      <w:r>
        <w:t xml:space="preserve">№ 27 от 16 ноября 2026 г.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Перевозчик обязуется доставить груз заказчика — бытовую технику в упаковке, 12 паллет, вес брутто 8 400 кг — по маршруту г. Пермь, ул. Ленина, д. 10 — г. Казань, ул. Баумана, д. 44, а заказчик обязуется принять груз и оплатить перевозку.</w:t>
      </w:r>
    </w:p>
    <w:p>
      <w:pPr>
        <w:pStyle w:val="BodyText"/>
      </w:pPr>
      <w:r>
        <w:t xml:space="preserve">Погрузка — 17 ноября 2026 г. с 9:00 до 12:00 силами заказчика, выгрузка — 18 ноября 2026 г. до 18:00 силами грузополучателя. Транспортное средство — тентованный полуприцеп, госномер А123ВС66, водитель Петров И. С., паспорт 65 00 000000.</w:t>
      </w:r>
    </w:p>
    <w:p>
      <w:pPr>
        <w:pStyle w:val="BodyText"/>
      </w:pPr>
      <w:r>
        <w:t xml:space="preserve">Провозная плата — 48 000 рублей. НДС не предъявляется в связи с освобождением перевозчика от обязанностей налогоплательщика НДС по статье 145 Налогового кодекса РФ. Оплата на расчётный счёт перевозчика в течение 5 рабочих дней после получения оригиналов транспортной накладной и счёта.</w:t>
      </w:r>
    </w:p>
    <w:p>
      <w:pPr>
        <w:pStyle w:val="BodyText"/>
      </w:pPr>
      <w:r>
        <w:t xml:space="preserve">Перевозчик отвечает за сохранность груза с момента приёмки до выдачи грузополучателю. За просрочку доставки перевозчик уплачивает заказчику 0,1 % провозной платы за каждый день просрочки, но не более 10 % провозной платы.</w:t>
      </w:r>
    </w:p>
    <w:p>
      <w:pPr>
        <w:pStyle w:val="BodyText"/>
      </w:pPr>
      <w:r>
        <w:t xml:space="preserve">Транспортная накладная оформляется в электронном виде через оператора электронных перевозочных документов и подписывается усиленной квалифицированной электронной подписью сторон.</w:t>
      </w:r>
    </w:p>
    <w:p>
      <w:pPr>
        <w:pStyle w:val="BodyText"/>
      </w:pPr>
      <w:r>
        <w:t xml:space="preserve">Договор вступает в силу с момента подписания и действует до полного исполнения сторонами обязательств. Споры рассматриваются в Арбитражном суде Пермского края.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Н.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В.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Договор-заявка на перевозку груза автомобильным транспортом</dc:title>
  <dc:creator/>
  <dc:language>ru</dc:language>
  <cp:keywords/>
  <dcterms:created xsi:type="dcterms:W3CDTF">2026-11-07T20:36:15Z</dcterms:created>
  <dcterms:modified xsi:type="dcterms:W3CDTF">2026-11-07T20:36:15Z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