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подключении (технологическом присоединении) к централизованным системам водоснабжения и водоотведения</w:t>
      </w:r>
    </w:p>
    <w:p>
      <w:pPr>
        <w:pStyle w:val="FirstParagraph"/>
      </w:pPr>
      <w:r>
        <w:t xml:space="preserve">Организация водопроводно-канализационного хозяйства:</w:t>
      </w:r>
    </w:p>
    <w:p>
      <w:pPr>
        <w:pStyle w:val="BodyText"/>
      </w:pPr>
      <w:r>
        <w:t xml:space="preserve">МУП «Водоканал»</w:t>
      </w:r>
    </w:p>
    <w:p>
      <w:pPr>
        <w:pStyle w:val="BodyText"/>
      </w:pPr>
      <w:r>
        <w:t xml:space="preserve">Заказчик:</w:t>
      </w:r>
    </w:p>
    <w:p>
      <w:pPr>
        <w:pStyle w:val="BodyText"/>
      </w:pPr>
      <w:r>
        <w:t xml:space="preserve">ООО «Стройинвест»</w:t>
      </w:r>
    </w:p>
    <w:bookmarkStart w:id="10" w:name="Xa852338de69b169a8026841f70d37512383cdb9"/>
    <w:p>
      <w:pPr>
        <w:pStyle w:val="Heading1"/>
      </w:pPr>
      <w:r>
        <w:t xml:space="preserve">Договор о подключении (технологическом присоединении) к централизованным системам водоснабжения и водоотведения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«16» ноября 2026 г. № 27</w:t>
      </w:r>
    </w:p>
    <w:p>
      <w:pPr>
        <w:pStyle w:val="BodyText"/>
      </w:pPr>
      <w:r>
        <w:t xml:space="preserve">Организация водопроводно-канализационного хозяйства обязуется выполнить действия по подготовке централизованных систем водоснабжения и водоотведения к подключению объекта заказчика, а заказчик обязуется выполнить технические условия, внести плату за подключение и подготовить объект к приёму воды и отводу стоков.</w:t>
      </w:r>
    </w:p>
    <w:p>
      <w:pPr>
        <w:pStyle w:val="BodyText"/>
      </w:pPr>
      <w:r>
        <w:t xml:space="preserve">Объект: производственное здание по адресу г. Тверь, ул. Заводская, д. 12. Планируемая нагрузка: водоснабжение — 4,5 куб. м в сутки, водоотведение — 3,8 куб. м в сутки. Точка подключения — колодец на сети водопровода диаметром 200 мм по ул. Заводской.</w:t>
      </w:r>
    </w:p>
    <w:p>
      <w:pPr>
        <w:pStyle w:val="BodyText"/>
      </w:pPr>
      <w:r>
        <w:t xml:space="preserve">Срок выполнения мероприятий по подключению — 18 месяцев со дня заключения договора. Срок действия технических условий — 5 лет.</w:t>
      </w:r>
    </w:p>
    <w:p>
      <w:pPr>
        <w:pStyle w:val="BodyText"/>
      </w:pPr>
      <w:r>
        <w:t xml:space="preserve">Плата за подключение определяется по тарифу, установленному органом регулирования тарифов, и вносится в порядке, установленном Правилами холодного водоснабжения и водоотведения.</w:t>
      </w:r>
    </w:p>
    <w:p>
      <w:pPr>
        <w:pStyle w:val="BodyText"/>
      </w:pPr>
      <w:r>
        <w:t xml:space="preserve">Заказчик вправе расторгнуть договор в одностороннем порядке при нарушении организацией ВКХ сроков подключения, направив письменное уведомление.</w:t>
      </w:r>
    </w:p>
    <w:p>
      <w:pPr>
        <w:pStyle w:val="BodyText"/>
      </w:pPr>
      <w:r>
        <w:t xml:space="preserve">Приложение: технические условия № 118 от 10 ноября 2026 г.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Организация ВКХ</w:t>
            </w:r>
          </w:p>
          <w:p>
            <w:pPr>
              <w:pStyle w:val="BodyText"/>
            </w:pPr>
            <w:r>
              <w:t xml:space="preserve">Директор МУП «Водоканал»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«Стройинвест»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подключении (технологическом присоединении) к централизованным системам водоснабжения и водоотведения</dc:title>
  <dc:creator/>
  <dc:language>ru</dc:language>
  <cp:keywords/>
  <dcterms:created xsi:type="dcterms:W3CDTF">2026-11-06T21:47:19Z</dcterms:created>
  <dcterms:modified xsi:type="dcterms:W3CDTF">2026-11-06T21:47:19Z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