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подключении (технологическом присоединении) к централизованным системам водоснабжения и водоотведения</w:t>
      </w:r>
    </w:p>
    <w:p>
      <w:pPr>
        <w:pStyle w:val="FirstParagraph"/>
      </w:pPr>
      <w:r>
        <w:t xml:space="preserve">Организация ВКХ: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852338de69b169a8026841f70d37512383cdb9"/>
    <w:p>
      <w:pPr>
        <w:pStyle w:val="Heading1"/>
      </w:pPr>
      <w:r>
        <w:t xml:space="preserve">Договор о подключении (технологическом присоединении) к централизованным системам водоснабжения и водоотведения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Объект и нагрузка: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Плата за подключение: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Расторжение: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Организация ВКХ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подключении (технологическом присоединении) к централизованным системам водоснабжения и водоотведения</dc:title>
  <dc:creator/>
  <dc:language>ru</dc:language>
  <cp:keywords/>
  <dcterms:created xsi:type="dcterms:W3CDTF">2026-11-06T21:47:19Z</dcterms:created>
  <dcterms:modified xsi:type="dcterms:W3CDTF">2026-11-06T21:47:19Z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