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субподряда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«Заказчик», с одной стороны, и</w:t>
      </w:r>
    </w:p>
    <w:p>
      <w:pPr>
        <w:pStyle w:val="BodyText"/>
      </w:pPr>
      <w:r>
        <w:t xml:space="preserve">Иванов Иван Иванович, плательщик налога на профессиональный доход,</w:t>
      </w:r>
    </w:p>
    <w:p>
      <w:pPr>
        <w:pStyle w:val="BodyText"/>
      </w:pPr>
      <w:r>
        <w:t xml:space="preserve">именуемый в дальнейшем «Подрядчик», с другой стороны,</w:t>
      </w:r>
    </w:p>
    <w:bookmarkStart w:id="10" w:name="договор-субподряда"/>
    <w:p>
      <w:pPr>
        <w:pStyle w:val="Heading1"/>
      </w:pPr>
      <w:r>
        <w:t xml:space="preserve">Договор субподряда</w:t>
      </w:r>
    </w:p>
    <w:bookmarkStart w:id="9" w:name="X2afc78e500bcf951e310be22087fc8657b0968d"/>
    <w:p>
      <w:pPr>
        <w:pStyle w:val="Heading2"/>
      </w:pPr>
      <w:r>
        <w:t xml:space="preserve">на выполнение работ с исполнителем, применяющим налог на профессиональный доход</w:t>
      </w:r>
    </w:p>
    <w:p>
      <w:pPr>
        <w:pStyle w:val="FirstParagraph"/>
      </w:pPr>
      <w:r>
        <w:t xml:space="preserve">16 ноября 2026 г. № 14-С</w:t>
      </w:r>
    </w:p>
    <w:p>
      <w:pPr>
        <w:pStyle w:val="BodyText"/>
      </w:pPr>
      <w:r>
        <w:t xml:space="preserve">Подрядчик обязуется выполнить работы по разработке дизайна сайта Заказчика в объёме, согласованном в задании (приложение № 1), и сдать результат Заказчику, а Заказчик обязуется принять результат и оплатить его.</w:t>
      </w:r>
    </w:p>
    <w:p>
      <w:pPr>
        <w:pStyle w:val="BodyText"/>
      </w:pPr>
      <w:r>
        <w:t xml:space="preserve">Подрядчик вправе привлекать к выполнению отдельных видов работ третьих лиц по гражданско-правовым договорам. Привлечение третьих лиц не освобождает Подрядчика от ответственности перед Заказчиком за качество и сроки работ в целом.</w:t>
      </w:r>
    </w:p>
    <w:p>
      <w:pPr>
        <w:pStyle w:val="BodyText"/>
      </w:pPr>
      <w:r>
        <w:t xml:space="preserve">Подрядчик не состоит с Заказчиком в трудовых отношениях, не подчиняется правилам внутреннего трудового распорядка Заказчика и выполняет работы по своему усмотрению и своими средствами.</w:t>
      </w:r>
    </w:p>
    <w:p>
      <w:pPr>
        <w:pStyle w:val="BodyText"/>
      </w:pPr>
      <w:r>
        <w:t xml:space="preserve">Подрядчик подтверждает, что применяет налог на профессиональный доход, не имеет работников по трудовым договорам и не применяет иные специальные налоговые режимы. При утрате права на налог на профессиональный доход Подрядчик сообщает об этом Заказчику в течение трёх рабочих дней.</w:t>
      </w:r>
    </w:p>
    <w:p>
      <w:pPr>
        <w:pStyle w:val="BodyText"/>
      </w:pPr>
      <w:r>
        <w:t xml:space="preserve">Стоимость работ определяется в задании (приложение № 1). Оплата производится на счёт Подрядчика в течение 10 рабочих дней после подписания акта сдачи-приёмки работ. Подрядчик формирует чек в приложении «Мой налог» и передаёт его Заказчику не позднее даты оплаты.</w:t>
      </w:r>
    </w:p>
    <w:p>
      <w:pPr>
        <w:pStyle w:val="BodyText"/>
      </w:pPr>
      <w:r>
        <w:t xml:space="preserve">Приложение: задание на выполнение работ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Плательщик налога на профессиональный доход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субподряда</dc:title>
  <dc:creator/>
  <dc:language>ru</dc:language>
  <cp:keywords/>
  <dcterms:created xsi:type="dcterms:W3CDTF">2026-11-06T21:47:16Z</dcterms:created>
  <dcterms:modified xsi:type="dcterms:W3CDTF">2026-11-06T21:47:16Z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