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нежилого помещения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субаренды-нежилого-помещения"/>
    <w:p>
      <w:pPr>
        <w:pStyle w:val="Heading1"/>
      </w:pPr>
      <w:r>
        <w:t xml:space="preserve">Договор субаренды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Субарендодатель передаёт, а Субарендатор принимает во временное владение и пользование нежилое помещение площадью 120 кв. м, кадастровый номер 77:01:0000000:000, расположенное по адресу: г. Москва, ул. Примерная, д. 1, пом. 4, для размещения офиса.</w:t>
      </w:r>
    </w:p>
    <w:p>
      <w:pPr>
        <w:pStyle w:val="BodyText"/>
      </w:pPr>
      <w:r>
        <w:t xml:space="preserve">1.2. Помещение принадлежит Субарендодателю на праве аренды по договору аренды от 10 января 2025 г. № 7, заключённому с собственником — ООО «Лютик». Договор аренды зарегистрирован в Едином государственном реестре недвижимости 20 января 2025 г. за № ______. Субарендодатель передаёт помещение с письменного согласия собственника от 1 ноября 2026 г.</w:t>
      </w:r>
    </w:p>
    <w:p>
      <w:pPr>
        <w:pStyle w:val="BodyText"/>
      </w:pPr>
      <w:r>
        <w:t xml:space="preserve">2.1. Арендная плата — 90 000 рублей в месяц, в том числе НДС. Плата вносится до 10-го числа месяца, следующего за оплачиваемым, на расчётный счёт Субарендодателя.</w:t>
      </w:r>
    </w:p>
    <w:p>
      <w:pPr>
        <w:pStyle w:val="BodyText"/>
      </w:pPr>
      <w:r>
        <w:t xml:space="preserve">3.1. Срок субаренды — с 1 декабря 2026 г. по 31 октября 2027 г. Срок субаренды не превышает срока договора аренды.</w:t>
      </w:r>
    </w:p>
    <w:p>
      <w:pPr>
        <w:pStyle w:val="BodyText"/>
      </w:pPr>
      <w:r>
        <w:t xml:space="preserve">4.1. Субарендатор возмещает Субарендодателю стоимость коммунальных услуг и электроэнергии по показаниям приборов учёта и счетам поставщиков.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creator/>
  <dc:language>ru</dc:language>
  <cp:keywords/>
  <dcterms:created xsi:type="dcterms:W3CDTF">2026-11-02T20:32:09Z</dcterms:created>
  <dcterms:modified xsi:type="dcterms:W3CDTF">2026-11-02T20:32:09Z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