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установлении сервитута земельного участка</w:t>
      </w:r>
    </w:p>
    <w:p>
      <w:pPr>
        <w:pStyle w:val="FirstParagraph"/>
      </w:pPr>
      <w:r>
        <w:t xml:space="preserve">Собственник: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Пользователь: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71b0b0ed0c9bfb67072e60b78a1be32ddb4b64"/>
    <w:p>
      <w:pPr>
        <w:pStyle w:val="Heading1"/>
      </w:pPr>
      <w:r>
        <w:t xml:space="preserve">Соглашение об установлении сервитута земельного участка</w:t>
      </w:r>
    </w:p>
    <w:bookmarkStart w:id="9" w:name="X5c8d7714426c10e025b71490acc1af6eb2433c5"/>
    <w:p>
      <w:pPr>
        <w:pStyle w:val="Heading2"/>
      </w:pPr>
      <w:r>
        <w:t xml:space="preserve">части земельного участка с кадастровым номером 00:00:0000000:000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Плата: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Права Пользователя: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Обязанности сторон: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Регистрация: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Расторжение: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земельного участка</dc:title>
  <dc:creator/>
  <dc:language>ru</dc:language>
  <cp:keywords/>
  <dcterms:created xsi:type="dcterms:W3CDTF">2026-11-02T20:32:07Z</dcterms:created>
  <dcterms:modified xsi:type="dcterms:W3CDTF">2026-11-02T20:32:07Z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