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директора П. П. Петрова</w:t>
      </w:r>
    </w:p>
    <w:p>
      <w:pPr>
        <w:pStyle w:val="BodyText"/>
      </w:pPr>
      <w:r>
        <w:t xml:space="preserve">и Иванов Иван Иванович, плательщик НПД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с-исполнителем-на-профессиональный-доход"/>
    <w:p>
      <w:pPr>
        <w:pStyle w:val="Heading2"/>
      </w:pPr>
      <w:r>
        <w:t xml:space="preserve">с исполнителем на профессиональный доход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Исполнитель оказывает услуги по настройке рекламного кабинета и ведению кампаний с 16 ноября по 15 декабря 2026 года. Результат — работающий кабинет и отчёт о расходах за период.</w:t>
      </w:r>
    </w:p>
    <w:p>
      <w:pPr>
        <w:pStyle w:val="BodyText"/>
      </w:pPr>
      <w:r>
        <w:t xml:space="preserve">Вознаграждение — 60 000 рублей за весь период. Заказчик платит в течение 5 рабочих дней после подписания акта. Исполнитель применяет налог на профессиональный доход и не платит НДС.</w:t>
      </w:r>
    </w:p>
    <w:p>
      <w:pPr>
        <w:pStyle w:val="BodyText"/>
      </w:pPr>
      <w:r>
        <w:t xml:space="preserve">Исполнитель обязуется предупредить Заказчика о снятии с учёта плательщика НПД в течение 3 рабочих дней и вернуть полученную сумму за неоказанные услуги.</w:t>
      </w:r>
    </w:p>
    <w:p>
      <w:pPr>
        <w:pStyle w:val="BodyText"/>
      </w:pPr>
      <w:r>
        <w:t xml:space="preserve">По окончании периода стороны подписывают акт. Заказчик подписывает акт в течение 5 рабочих дней или направляет мотивированный отказ.</w:t>
      </w:r>
    </w:p>
    <w:p>
      <w:pPr>
        <w:pStyle w:val="BodyText"/>
      </w:pPr>
      <w:r>
        <w:t xml:space="preserve">Исполнитель подтверждает, что не состоит с Заказчиком в трудовых отношениях и не является его бывшим работником, уволенным менее двух лет назад.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Плательщик НПД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2026-11-07T20:36:07Z</dcterms:created>
  <dcterms:modified xsi:type="dcterms:W3CDTF">2026-11-07T20:36:07Z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