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Петров Пётр Петрович, ОГРНИП 000000000000000,</w:t>
      </w:r>
    </w:p>
    <w:p>
      <w:pPr>
        <w:pStyle w:val="BodyText"/>
      </w:pPr>
      <w:r>
        <w:t xml:space="preserve">именуемый в дальнейшем «Заказчик», с одной стороны, и</w:t>
      </w:r>
    </w:p>
    <w:p>
      <w:pPr>
        <w:pStyle w:val="BodyText"/>
      </w:pPr>
      <w:r>
        <w:t xml:space="preserve">гражданин Иванов Иван Иванович, плательщик налога на профессиональный доход,</w:t>
      </w:r>
    </w:p>
    <w:p>
      <w:pPr>
        <w:pStyle w:val="BodyText"/>
      </w:pPr>
      <w:r>
        <w:t xml:space="preserve">ИНН 000000000000, именуемый в дальнейшем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по-управлению-транспортным-средством"/>
    <w:p>
      <w:pPr>
        <w:pStyle w:val="Heading2"/>
      </w:pPr>
      <w:r>
        <w:t xml:space="preserve">по управлению транспортным средством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Исполнитель по заданию Заказчика оказывает услуги по управлению автомобилем Заказчика марки «Газель», государственный номер А000АА00, а Заказчик принимает и оплачивает эти услуги. Автомобиль, топливо и ремонт предоставляет Заказчик. Исполнитель не принимает груз к перевозке и не отвечает за его сохранность: перевозку груза Заказчик оформляет отдельно.</w:t>
      </w:r>
    </w:p>
    <w:p>
      <w:pPr>
        <w:pStyle w:val="BodyText"/>
      </w:pPr>
      <w:r>
        <w:t xml:space="preserve">2. Сроки и объём. Услуги оказываются по заявкам Заказчика. Заявка подаётся не позднее чем за 12 часов и содержит дату, маршрут и время. Принятая заявка — приложение к договору. Исполнитель сам решает, как выполнить услугу, и не подчиняется правилам внутреннего трудового распорядка Заказчика.</w:t>
      </w:r>
    </w:p>
    <w:p>
      <w:pPr>
        <w:pStyle w:val="BodyText"/>
      </w:pPr>
      <w:r>
        <w:t xml:space="preserve">3. Цена и порядок расчётов. Цена услуги — 1 200 рублей за час работы, НДС не облагается. Оплата — по акту оказанных услуг в течение 5 рабочих дней после подписания акта. Исполнитель применяет налог на профессиональный доход и формирует чек в приложении «Мой налог» по каждой оплате.</w:t>
      </w:r>
    </w:p>
    <w:p>
      <w:pPr>
        <w:pStyle w:val="BodyText"/>
      </w:pPr>
      <w:r>
        <w:t xml:space="preserve">4. Обязанности сторон. Исполнитель проходит предрейсовый медосмотр и получает путевой лист у Заказчика, соблюдает правила дорожного движения. Заказчик передаёт автомобиль по акту, обеспечивает топливо и техническое обслуживание. Исполнитель отвечает за сохранность автомобиля, полученного по акту.</w:t>
      </w:r>
    </w:p>
    <w:p>
      <w:pPr>
        <w:pStyle w:val="BodyText"/>
      </w:pPr>
      <w:r>
        <w:t xml:space="preserve">5. Ответственность. Если Исполнитель утратит статус плательщика налога на профессиональный доход или не выдаст чек, он возмещает Заказчику доначисленные налоги, взносы, пени и штрафы в течение 7 рабочих дней со дня получения требования с копией решения налогового органа.</w:t>
      </w:r>
    </w:p>
    <w:p>
      <w:pPr>
        <w:pStyle w:val="BodyText"/>
      </w:pPr>
      <w:r>
        <w:t xml:space="preserve">6. Срок действия и расторжение. Договор действует до 31 декабря 2026 года и может быть расторгнут любой стороной с письменным уведомлением за 10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2026-11-02T20:32:06Z</dcterms:created>
  <dcterms:modified xsi:type="dcterms:W3CDTF">2026-11-02T20:32:06Z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