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плательщик НПД, ИНН 771234567890,</w:t>
      </w:r>
    </w:p>
    <w:p>
      <w:pPr>
        <w:pStyle w:val="BodyText"/>
      </w:pPr>
      <w:r>
        <w:t xml:space="preserve">именуемые в дальнейшем «Стороны», 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14-У</w:t>
      </w:r>
    </w:p>
    <w:p>
      <w:pPr>
        <w:pStyle w:val="BodyText"/>
      </w:pPr>
      <w:r>
        <w:t xml:space="preserve">1. Предмет договора. Исполнитель обязуется оказать услуги по настройке рекламной кампании в поисковой системе и сдать результат по акту, а Заказчик — принять результат и оплатить его. Перечень услуг и требования к результату — в задании (приложение № 1).</w:t>
      </w:r>
    </w:p>
    <w:p>
      <w:pPr>
        <w:pStyle w:val="BodyText"/>
      </w:pPr>
      <w:r>
        <w:t xml:space="preserve">2. Срок оказания услуг: с 16 ноября по 15 декабря 2026 года.</w:t>
      </w:r>
    </w:p>
    <w:p>
      <w:pPr>
        <w:pStyle w:val="BodyText"/>
      </w:pPr>
      <w:r>
        <w:t xml:space="preserve">3. Цена и порядок оплаты. Стоимость услуг — 60 000 рублей, НДС не облагается: Исполнитель применяет специальный налоговый режим «Налог на профессиональный доход». Оплата — на счёт Исполнителя в течение 5 рабочих дней после подписания акта.</w:t>
      </w:r>
    </w:p>
    <w:p>
      <w:pPr>
        <w:pStyle w:val="BodyText"/>
      </w:pPr>
      <w:r>
        <w:t xml:space="preserve">4. Порядок сдачи и приёмки. Исполнитель передаёт результат и акт не позднее 15 декабря 2026 года.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5. Чек и статус. Исполнитель подтверждает статус плательщика НПД и не позднее дня получения оплаты формирует в приложении «Мой налог» чек и передаёт его Заказчику. Если статус утрачен, Исполнитель сообщает об этом в течение 1 рабочего дня.</w:t>
      </w:r>
    </w:p>
    <w:p>
      <w:pPr>
        <w:pStyle w:val="BodyText"/>
      </w:pPr>
      <w:r>
        <w:t xml:space="preserve">6. Исполнитель оказывает услуги своими силами и средствами, самостоятельно определяет время и способ их выполнения, в штате Заказчика не состоит, правила внутреннего трудового распорядка на него не распространяются.</w:t>
      </w:r>
    </w:p>
    <w:p>
      <w:pPr>
        <w:pStyle w:val="BodyText"/>
      </w:pPr>
      <w:r>
        <w:t xml:space="preserve">7. Ответственность сторон. За просрочку оплаты Заказчик платит пени 0,1 % от суммы долга за каждый день. За просрочку сдачи результата Исполнитель платит пени 0,1 % от стоимости услуг за каждый день.</w:t>
      </w:r>
    </w:p>
    <w:p>
      <w:pPr>
        <w:pStyle w:val="BodyText"/>
      </w:pPr>
      <w:r>
        <w:t xml:space="preserve">8.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Плательщик НПД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2026-10-28T22:23:02Z</dcterms:created>
  <dcterms:modified xsi:type="dcterms:W3CDTF">2026-10-28T22:23:02Z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