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клининговых услуг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Исполнитель: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76f9f443f611d6fc1ba75e8e129fe6986d66396"/>
    <w:p>
      <w:pPr>
        <w:pStyle w:val="Heading1"/>
      </w:pPr>
      <w:r>
        <w:t xml:space="preserve">Договор возмездного оказания клининговых услуг</w:t>
      </w:r>
    </w:p>
    <w:bookmarkStart w:id="9" w:name="Xb89caee89b6a954d18c0217e6a4092318312aaa"/>
    <w:p>
      <w:pPr>
        <w:pStyle w:val="Heading2"/>
      </w:pPr>
      <w:r>
        <w:t xml:space="preserve">с исполнителем, применяющим налог на профессиональный доход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оказания услуг: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Налоговый статус: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Цена и порядок оплаты: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Приёмка и контроль: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Ответственность и расторжение: 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статус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клининговых услуг</dc:title>
  <dc:creator/>
  <dc:language>ru</dc:language>
  <cp:keywords/>
  <dcterms:created xsi:type="dcterms:W3CDTF">2026-11-07T20:36:06Z</dcterms:created>
  <dcterms:modified xsi:type="dcterms:W3CDTF">2026-11-07T20:36:06Z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