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поставки</w:t>
      </w:r>
    </w:p>
    <w:p>
      <w:pPr>
        <w:pStyle w:val="FirstParagraph"/>
      </w:pPr>
      <w:r>
        <w:t xml:space="preserve">ООО «Ромашка», именуемое в дальнейшем «Поставщик»</w:t>
      </w:r>
    </w:p>
    <w:p>
      <w:pPr>
        <w:pStyle w:val="BodyText"/>
      </w:pPr>
      <w:r>
        <w:t xml:space="preserve">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 ООО «Ласточка», именуемое в дальнейшем «Покупатель»</w:t>
      </w:r>
    </w:p>
    <w:p>
      <w:pPr>
        <w:pStyle w:val="BodyText"/>
      </w:pPr>
      <w:r>
        <w:t xml:space="preserve">в лице генерального директора А. С. Смирновой, действующей на основании устава,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договор-поставки"/>
    <w:p>
      <w:pPr>
        <w:pStyle w:val="Heading1"/>
      </w:pPr>
      <w:r>
        <w:t xml:space="preserve">Договор поставки</w:t>
      </w:r>
    </w:p>
    <w:bookmarkStart w:id="9" w:name="section"/>
    <w:p>
      <w:pPr>
        <w:pStyle w:val="Heading2"/>
      </w:pPr>
      <w:r>
        <w:t xml:space="preserve">№ 12/2026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1. Предмет договора. Поставщик передаёт Покупателю офисную мебель по спецификации (приложение № 1), а Покупатель принимает товар и оплачивает его.</w:t>
      </w:r>
    </w:p>
    <w:p>
      <w:pPr>
        <w:pStyle w:val="BodyText"/>
      </w:pPr>
      <w:r>
        <w:t xml:space="preserve">2. Срок поставки. Товар передаётся одной партией до 20 декабря 2026 года на склад Покупателя по адресу: г. Москва, ул. Лесная, д. 8.</w:t>
      </w:r>
    </w:p>
    <w:p>
      <w:pPr>
        <w:pStyle w:val="BodyText"/>
      </w:pPr>
      <w:r>
        <w:t xml:space="preserve">3. Цена и порядок расчётов. Общая стоимость товара — по спецификации. Покупатель платит в течение 10 рабочих дней с даты приёмки товара на основании счёта и универсального передаточного документа.</w:t>
      </w:r>
    </w:p>
    <w:p>
      <w:pPr>
        <w:pStyle w:val="BodyText"/>
      </w:pPr>
      <w:r>
        <w:t xml:space="preserve">4. Приёмка. Покупатель осматривает товар при передаче и указывает недостатки в акте или в накладной. Скрытые недостатки заявляются в течение гарантийного срока.</w:t>
      </w:r>
    </w:p>
    <w:p>
      <w:pPr>
        <w:pStyle w:val="BodyText"/>
      </w:pPr>
      <w:r>
        <w:t xml:space="preserve">5. Ответственность. За просрочку оплаты Покупатель платит пени 0,1 % от суммы долга за каждый день просрочки. За просрочку поставки Поставщик платит такие же пени.</w:t>
      </w:r>
    </w:p>
    <w:p>
      <w:pPr>
        <w:pStyle w:val="BodyText"/>
      </w:pPr>
      <w:r>
        <w:t xml:space="preserve">6. Споры. Стороны направляют друг другу претензию и рассматривают её в течение 10 рабочих дней. Если спор не решён, его передают в Арбитражный суд города Москвы.</w:t>
      </w:r>
    </w:p>
    <w:p>
      <w:pPr>
        <w:pStyle w:val="BodyText"/>
      </w:pPr>
      <w:r>
        <w:t xml:space="preserve">7. Срок действия. Договор действует с даты подписания до полного исполнения обязательств сторонами.</w:t>
      </w:r>
    </w:p>
    <w:p>
      <w:pPr>
        <w:pStyle w:val="BodyText"/>
      </w:pPr>
      <w:r>
        <w:t xml:space="preserve">8. Реквизиты и подписи сторон — в приложении к договору.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Генеральный директор ООО «Ласточка»</w:t>
            </w:r>
          </w:p>
          <w:p>
            <w:pPr>
              <w:pStyle w:val="BodyText"/>
            </w:pPr>
            <w:r>
              <w:t xml:space="preserve">____________ / А. С.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</dc:title>
  <dc:creator/>
  <dc:language>ru</dc:language>
  <cp:keywords/>
  <dcterms:created xsi:type="dcterms:W3CDTF">2026-11-07T06:45:00Z</dcterms:created>
  <dcterms:modified xsi:type="dcterms:W3CDTF">2026-11-07T06:45:00Z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