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Поставщик обязуется передать Покупателю товар по наименованию, количеству и цене, указанным в спецификации (приложение № 1), а Покупатель — принять и оплатить его.</w:t>
      </w:r>
    </w:p>
    <w:p>
      <w:pPr>
        <w:pStyle w:val="BodyText"/>
      </w:pPr>
      <w:r>
        <w:t xml:space="preserve">2. Цена и оплата. Цена товара — 480 000 рублей, НДС 22 % включён. Оплата — в течение 10 рабочих дней с даты поставки на основании счёта и универсального передаточного документа.</w:t>
      </w:r>
    </w:p>
    <w:p>
      <w:pPr>
        <w:pStyle w:val="BodyText"/>
      </w:pPr>
      <w:r>
        <w:t xml:space="preserve">3. Сроки. Поставка — в течение 20 календарных дней с даты заявки Покупателя. Право собственности переходит в момент передачи товара и подписания накладной.</w:t>
      </w:r>
    </w:p>
    <w:p>
      <w:pPr>
        <w:pStyle w:val="BodyText"/>
      </w:pPr>
      <w:r>
        <w:t xml:space="preserve">4. Ответственность. За просрочку оплаты Покупатель платит пени 0,1 % от суммы долга за каждый день просрочки. За просрочку поставки Поставщик платит пени 0,1 % от стоимости непоставленного товара за каждый день.</w:t>
      </w:r>
    </w:p>
    <w:p>
      <w:pPr>
        <w:pStyle w:val="BodyText"/>
      </w:pPr>
      <w:r>
        <w:t xml:space="preserve">5. Споры. Стороны принимают меры к урегулированию спора переговорами; претензионный срок — 15 календарных дней. При недостижении согласия спор рассматривает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2026-11-04T20:32:11Z</dcterms:created>
  <dcterms:modified xsi:type="dcterms:W3CDTF">2026-11-04T20:32:11Z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