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</w:t>
      </w:r>
    </w:p>
    <w:p>
      <w:pPr>
        <w:pStyle w:val="FirstParagraph"/>
      </w:pPr>
      <w:r>
        <w:t xml:space="preserve">ООО «Ромашка», 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гражданин И. И. Иванов,</w:t>
      </w:r>
    </w:p>
    <w:bookmarkStart w:id="10" w:name="договор-возмездного-оказания-услуг"/>
    <w:p>
      <w:pPr>
        <w:pStyle w:val="Heading1"/>
      </w:pPr>
      <w:r>
        <w:t xml:space="preserve">Договор возмездного оказания услуг</w:t>
      </w:r>
    </w:p>
    <w:bookmarkStart w:id="9" w:name="Xb1d3bde5c6470b451177a8244c0a1eceaa7392b"/>
    <w:p>
      <w:pPr>
        <w:pStyle w:val="Heading2"/>
      </w:pPr>
      <w:r>
        <w:t xml:space="preserve">на разработку логотипа и фирменного стиля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1. Предмет договора. Исполнитель обязуется по заданию Заказчика оказать услуги по разработке логотипа и фирменного стиля (далее — услуги), а Заказчик обязуется принять и оплатить их. Результат услуг: логотип в векторном формате, цветовая палитра, шрифтовая пара, макеты визитки и бланка. Срок оказания услуг — с 16 ноября по 15 декабря 2026 года.</w:t>
      </w:r>
    </w:p>
    <w:p>
      <w:pPr>
        <w:pStyle w:val="BodyText"/>
      </w:pPr>
      <w:r>
        <w:t xml:space="preserve">2. Права на результат. Исключительное право на созданные по договору логотип, палитру, шрифтовую пару и макеты переходит к Заказчику с момента полной оплаты. Исполнитель вправе показывать результат в своём портфолио, если Заказчик не возражает.</w:t>
      </w:r>
    </w:p>
    <w:p>
      <w:pPr>
        <w:pStyle w:val="BodyText"/>
      </w:pPr>
      <w:r>
        <w:t xml:space="preserve">3. Цена и порядок оплаты. Стоимость услуг — 120 000 рублей, НДС не облагается. Заказчик платит аванс 50 % в течение 5 рабочих дней с даты подписания договора, остаток — в течение 5 рабочих дней после подписания акта.</w:t>
      </w:r>
    </w:p>
    <w:p>
      <w:pPr>
        <w:pStyle w:val="BodyText"/>
      </w:pPr>
      <w:r>
        <w:t xml:space="preserve">4. Порядок сдачи и приёмки. Исполнитель передаёт результат по акту. Заказчик в течение 5 рабочих дней подписывает акт или направляет мотивированный отказ с перечнем замечаний. Правки в пределах двух кругов входят в цену.</w:t>
      </w:r>
    </w:p>
    <w:p>
      <w:pPr>
        <w:pStyle w:val="BodyText"/>
      </w:pPr>
      <w:r>
        <w:t xml:space="preserve">5. Ответственность. За просрочку оказания услуг Исполнитель платит пени 0,1 % от цены договора за каждый день просрочки, но не более 10 % цены. За просрочку оплаты Заказчик платит пени 0,1 % от неоплаченной суммы за каждый день.</w:t>
      </w:r>
    </w:p>
    <w:p>
      <w:pPr>
        <w:pStyle w:val="BodyText"/>
      </w:pPr>
      <w:r>
        <w:t xml:space="preserve">6. Прочие условия. Договор регулируется главой 39 ГК РФ. Споры стороны решают переговорами, при недостижении согласия — в арбитражном суде по месту нахождения Заказчика. Договор составлен в двух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</dc:title>
  <dc:creator/>
  <dc:language>ru</dc:language>
  <cp:keywords/>
  <dcterms:created xsi:type="dcterms:W3CDTF">2026-11-07T06:44:52Z</dcterms:created>
  <dcterms:modified xsi:type="dcterms:W3CDTF">2026-11-07T06:44:52Z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