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банковского счёта</w:t>
      </w:r>
    </w:p>
    <w:p>
      <w:pPr>
        <w:pStyle w:val="FirstParagraph"/>
      </w:pPr>
      <w:r>
        <w:t xml:space="preserve">АО «Банк Пример»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7800000000, КПП 780001001</w:t>
      </w:r>
    </w:p>
    <w:bookmarkStart w:id="10" w:name="договор-банковского-счёта"/>
    <w:p>
      <w:pPr>
        <w:pStyle w:val="Heading1"/>
      </w:pPr>
      <w:r>
        <w:t xml:space="preserve">Договор банковского счёта</w:t>
      </w:r>
    </w:p>
    <w:bookmarkStart w:id="9" w:name="о-расчётно-кассовом-обслуживании"/>
    <w:p>
      <w:pPr>
        <w:pStyle w:val="Heading2"/>
      </w:pPr>
      <w:r>
        <w:t xml:space="preserve">о расчётно-кассовом обслуживании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Банк открывает клиенту расчётный счёт в рублях и обязуется принимать и зачислять денежные средства, выполнять распоряжения клиента о перечислении и выдаче сумм со счёта, а также оказывать иные услуги, предусмотренные договором и тарифами.</w:t>
      </w:r>
    </w:p>
    <w:p>
      <w:pPr>
        <w:pStyle w:val="BodyText"/>
      </w:pPr>
      <w:r>
        <w:t xml:space="preserve">Перечень услуг, тарифы и сроки их изменения указаны в приложении № 1, которое является неотъемлемой частью договора.</w:t>
      </w:r>
    </w:p>
    <w:p>
      <w:pPr>
        <w:pStyle w:val="BodyText"/>
      </w:pPr>
      <w:r>
        <w:t xml:space="preserve">Договор действует с даты подписания и до расторжения. Клиент вправе расторгнуть договор в любое время по заявлению, банк — в случаях, предусмотренных законом и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Банк</w:t>
            </w:r>
          </w:p>
          <w:p>
            <w:pPr>
              <w:pStyle w:val="BodyText"/>
            </w:pPr>
            <w:r>
              <w:t xml:space="preserve">Управляющий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счёта</dc:title>
  <dc:creator/>
  <dc:language>ru</dc:language>
  <cp:keywords/>
  <dcterms:created xsi:type="dcterms:W3CDTF">2026-11-02T20:32:01Z</dcterms:created>
  <dcterms:modified xsi:type="dcterms:W3CDTF">2026-11-02T20:32:01Z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