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</w:t>
      </w:r>
    </w:p>
    <w:p>
      <w:pPr>
        <w:pStyle w:val="BodyText"/>
      </w:pPr>
      <w:r>
        <w:t xml:space="preserve">именуемый в дальнейшем «Товарищ 1», с одной стороны, и</w:t>
      </w:r>
    </w:p>
    <w:p>
      <w:pPr>
        <w:pStyle w:val="BodyText"/>
      </w:pPr>
      <w:r>
        <w:t xml:space="preserve">Общество с ограниченной ответственностью «Ромашка», ОГРН 0000000000000,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именуемое в дальнейшем «Товарищ 2», с другой стороны,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cedcacd4415a640ba1a3182cb2c3118d60965d9"/>
    <w:p>
      <w:pPr>
        <w:pStyle w:val="Heading2"/>
      </w:pPr>
      <w:r>
        <w:t xml:space="preserve">о совместной деятельности по разработке и продаже онлайн-курсов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Товарищи обязуются соединить свои вклады и совместно действовать без образования юридического лица для разработки и продажи онлайн-курсов и извлечения прибыли.</w:t>
      </w:r>
    </w:p>
    <w:p>
      <w:pPr>
        <w:pStyle w:val="BodyText"/>
      </w:pPr>
      <w:r>
        <w:t xml:space="preserve">2. Вклады товарищей: Товарищ 1 вносит 300 000 рублей и свои профессиональные навыки методиста, Товарищ 2 — 200 000 рублей и оборудование для записи видео. Денежная оценка неденежных вкладов согласована товарищами и составляет 150 000 рублей.</w:t>
      </w:r>
    </w:p>
    <w:p>
      <w:pPr>
        <w:pStyle w:val="BodyText"/>
      </w:pPr>
      <w:r>
        <w:t xml:space="preserve">3. Внесённое имущество, а также продукция и доходы от совместной деятельности признаются общей долевой собственностью товарищей. Доли: Товарищ 1 — 60 %, Товарищ 2 — 40 %.</w:t>
      </w:r>
    </w:p>
    <w:p>
      <w:pPr>
        <w:pStyle w:val="BodyText"/>
      </w:pPr>
      <w:r>
        <w:t xml:space="preserve">4. Прибыль распределяется пропорционально долям: Товарищу 1 — 60 %, Товарищу 2 — 40 %. Убытки покрываются из общего имущества, а при его недостатке — пропорционально стоимости вкладов.</w:t>
      </w:r>
    </w:p>
    <w:p>
      <w:pPr>
        <w:pStyle w:val="BodyText"/>
      </w:pPr>
      <w:r>
        <w:t xml:space="preserve">5. Общие дела ведёт Товарищ 1: он заключает договоры с подрядчиками и покупателями и распоряжается общими средствами; бухгалтерский учёт общего имущества ведёт Товарищ 2 как юридическое лицо. Сделки свыше 100 000 рублей он совершает с письменного согласия Товарища 2.</w:t>
      </w:r>
    </w:p>
    <w:p>
      <w:pPr>
        <w:pStyle w:val="BodyText"/>
      </w:pPr>
      <w:r>
        <w:t xml:space="preserve">6. Договор заключён на три года. Товарищ, желающий выйти, направляет письменное уведомление не позднее чем за три месяца до выхода.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Товарищ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Товарищ 2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2026-10-28T22:22:57Z</dcterms:created>
  <dcterms:modified xsi:type="dcterms:W3CDTF">2026-10-28T22:22:57Z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