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запчастей для спецтехники</w:t>
      </w:r>
    </w:p>
    <w:p>
      <w:pPr>
        <w:pStyle w:val="FirstParagraph"/>
      </w:pPr>
      <w:r>
        <w:t xml:space="preserve">ООО «Технопарк»</w:t>
      </w:r>
    </w:p>
    <w:p>
      <w:pPr>
        <w:pStyle w:val="BodyText"/>
      </w:pPr>
      <w:r>
        <w:t xml:space="preserve">в лице генерального директора С. А. Кузнецова,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«Строймеханизация»</w:t>
      </w:r>
    </w:p>
    <w:p>
      <w:pPr>
        <w:pStyle w:val="BodyText"/>
      </w:pPr>
      <w:r>
        <w:t xml:space="preserve">в лице директора А. В. Смирнова,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X69dc4d20f8bce0105c3b79931c0a9b4a12ecc95"/>
    <w:p>
      <w:pPr>
        <w:pStyle w:val="Heading1"/>
      </w:pPr>
      <w:r>
        <w:t xml:space="preserve">Договор поставки запчастей для спецтехники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«12» января 2027 г.</w:t>
      </w:r>
    </w:p>
    <w:p>
      <w:pPr>
        <w:pStyle w:val="BodyText"/>
      </w:pPr>
      <w:r>
        <w:t xml:space="preserve">Поставщик обязуется передать Покупателю новые, не бывшие в эксплуатации запасные части и узлы для спецтехники по номенклатуре, в количестве и по ценам, указанным в спецификациях, а Покупатель — принять и оплатить товар.</w:t>
      </w:r>
    </w:p>
    <w:p>
      <w:pPr>
        <w:pStyle w:val="BodyText"/>
      </w:pPr>
      <w:r>
        <w:t xml:space="preserve">Спецификация подписывается на каждую партию и содержит наименование, каталожный номер, марку и модель техники, количество, цену, срок поставки и условия доставки.</w:t>
      </w:r>
    </w:p>
    <w:p>
      <w:pPr>
        <w:pStyle w:val="BodyText"/>
      </w:pPr>
      <w:r>
        <w:t xml:space="preserve">Качество товара подтверждается сертификатом или декларацией соответствия, а для оригинальных узлов — документом производителя. Поставщик гарантирует, что товар новый и подходит к указанной в спецификации технике.</w:t>
      </w:r>
    </w:p>
    <w:p>
      <w:pPr>
        <w:pStyle w:val="BodyText"/>
      </w:pPr>
      <w:r>
        <w:t xml:space="preserve">Приёмка по количеству и качеству — в течение 5 рабочих дней с даты поставки. Скрытые недостатки Покупатель вправе заявить в течение гарантийного срока.</w:t>
      </w:r>
    </w:p>
    <w:p>
      <w:pPr>
        <w:pStyle w:val="BodyText"/>
      </w:pPr>
      <w:r>
        <w:t xml:space="preserve">Оплата — в течение 30 календарных дней с даты поставки партии на основании счёта и универсального передаточного документа.</w:t>
      </w:r>
    </w:p>
    <w:p>
      <w:pPr>
        <w:pStyle w:val="BodyText"/>
      </w:pPr>
      <w:r>
        <w:t xml:space="preserve">За просрочку поставки Поставщик уплачивает пени в размере 0,1 % от стоимости непоставленного товара за каждый день просрочки, но не более 10 % стоимости партии.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запчастей для спецтехники</dc:title>
  <dc:creator/>
  <dc:language>ru</dc:language>
  <cp:keywords/>
  <dcterms:created xsi:type="dcterms:W3CDTF">2026-11-02T20:31:58Z</dcterms:created>
  <dcterms:modified xsi:type="dcterms:W3CDTF">2026-11-02T20:31:58Z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