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директора П. П. Петрова, действующего на основании устава,</w:t>
      </w:r>
    </w:p>
    <w:p>
      <w:pPr>
        <w:pStyle w:val="BodyText"/>
      </w:pPr>
      <w:r>
        <w:t xml:space="preserve">и ООО «Василёк»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bookmarkStart w:id="10" w:name="договор-поставки"/>
    <w:p>
      <w:pPr>
        <w:pStyle w:val="Heading1"/>
      </w:pPr>
      <w:r>
        <w:t xml:space="preserve">Договор поставки</w:t>
      </w:r>
    </w:p>
    <w:bookmarkStart w:id="9" w:name="с-оплатой-наличными-денежными-средствами"/>
    <w:p>
      <w:pPr>
        <w:pStyle w:val="Heading2"/>
      </w:pPr>
      <w:r>
        <w:t xml:space="preserve">с оплатой наличными денежными средствами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Поставщик обязуется передать Покупателю строительные материалы по заявкам, а Покупатель — принять товар и оплатить его наличными денежными средствами через кассу Поставщика.</w:t>
      </w:r>
    </w:p>
    <w:p>
      <w:pPr>
        <w:pStyle w:val="BodyText"/>
      </w:pPr>
      <w:r>
        <w:t xml:space="preserve">Оплата производится в рублях наличными в кассу Поставщика в день получения товара. Общая сумма наличных расчётов по настоящему договору не превышает установленный Банком России предел; сумму сверх него Покупатель перечисляет безналично.</w:t>
      </w:r>
    </w:p>
    <w:p>
      <w:pPr>
        <w:pStyle w:val="BodyText"/>
      </w:pPr>
      <w:r>
        <w:t xml:space="preserve">Поставщик выдаёт Покупателю кассовый чек и накладную. Обязательство Покупателя по оплате считается исполненным с момента поступления денег в кассу Поставщика.</w:t>
      </w:r>
    </w:p>
    <w:p>
      <w:pPr>
        <w:pStyle w:val="BodyText"/>
      </w:pPr>
      <w:r>
        <w:t xml:space="preserve">Приложение: заявка на поставку — форма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/>
  <dc:language>ru</dc:language>
  <cp:keywords/>
  <dcterms:created xsi:type="dcterms:W3CDTF">2026-11-07T20:35:56Z</dcterms:created>
  <dcterms:modified xsi:type="dcterms:W3CDTF">2026-11-07T20:35:56Z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