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программного обеспечения</w:t>
      </w:r>
    </w:p>
    <w:p>
      <w:pPr>
        <w:pStyle w:val="FirstParagraph"/>
      </w:pPr>
      <w:r>
        <w:t xml:space="preserve">ООО «Ромашка», именуемое в дальнейшем «Поставщик»,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«Василёк», именуемое в дальнейшем «Покупатель», в лице директора И. И. Иванова,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45d7808aa925320f519ffda7572c5d0ac55ea26"/>
    <w:p>
      <w:pPr>
        <w:pStyle w:val="Heading1"/>
      </w:pPr>
      <w:r>
        <w:t xml:space="preserve">Договор поставки программного обеспечения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Поставщик передаёт Покупателю программное обеспечение «Складской учёт» в составе дистрибутива на электронном носителе и ключа активации, а также предоставляет право использования этой программы на условиях простой (неисключительной) лицензии, а Покупатель принимает программу и оплачивает её.</w:t>
      </w:r>
    </w:p>
    <w:p>
      <w:pPr>
        <w:pStyle w:val="BodyText"/>
      </w:pPr>
      <w:r>
        <w:t xml:space="preserve">2. Право использования. Покупатель вправе использовать программу для собственных нужд на 25 рабочих местах без права распространения, перепродажи и сдачи в аренду. Срок использования — бессрочно с даты передачи. Территория — Российская Федерация.</w:t>
      </w:r>
    </w:p>
    <w:p>
      <w:pPr>
        <w:pStyle w:val="BodyText"/>
      </w:pPr>
      <w:r>
        <w:t xml:space="preserve">3. Цена и порядок расчётов. Цена договора — 480 000 рублей, в том числе НДС по ставке, применяемой Поставщиком. Покупатель перечисляет сумму в течение 10 рабочих дней с даты подписания акта передачи.</w:t>
      </w:r>
    </w:p>
    <w:p>
      <w:pPr>
        <w:pStyle w:val="BodyText"/>
      </w:pPr>
      <w:r>
        <w:t xml:space="preserve">4. Передача. Поставщик передаёт дистрибутив, ключ активации и документы на программу в течение 5 рабочих дней с даты оплаты. Передача оформляется актом, в котором указывают наименование программы, номер версии, количество рабочих мест и носитель.</w:t>
      </w:r>
    </w:p>
    <w:p>
      <w:pPr>
        <w:pStyle w:val="BodyText"/>
      </w:pPr>
      <w:r>
        <w:t xml:space="preserve">5. Качество и гарантия. Поставщик отвечает за то, что программа запускается и работает в объёме, описанном в документации. Гарантийный срок — 12 месяцев с даты передачи. Ошибки, о которых Покупатель сообщил в этот срок, Поставщик устраняет обновлением или заменой дистрибутива.</w:t>
      </w:r>
    </w:p>
    <w:p>
      <w:pPr>
        <w:pStyle w:val="BodyText"/>
      </w:pPr>
      <w:r>
        <w:t xml:space="preserve">6. Ответственность. За просрочку передачи Поставщик платит пени в размере 0,1 % от цены договора за каждый день просрочки, но не больше 10 % цены. За просрочку оплаты Покупатель платит такие же пени.</w:t>
      </w:r>
    </w:p>
    <w:p>
      <w:pPr>
        <w:pStyle w:val="BodyText"/>
      </w:pPr>
      <w:r>
        <w:t xml:space="preserve">7. Заключительные положения. Договор вступает в силу с даты подписания и действует до полного исполнения обязательств. Споры стороны решают переговорами, а при недостижении согласия — в арбитражном суде по месту нахождения ответчика.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программного обеспечения</dc:title>
  <dc:creator/>
  <dc:language>ru</dc:language>
  <cp:keywords/>
  <dcterms:created xsi:type="dcterms:W3CDTF">2026-11-06T21:46:38Z</dcterms:created>
  <dcterms:modified xsi:type="dcterms:W3CDTF">2026-11-06T21:46:38Z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