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продовольственных товаров</w:t>
      </w:r>
    </w:p>
    <w:p>
      <w:pPr>
        <w:pStyle w:val="FirstParagraph"/>
      </w:pPr>
      <w:r>
        <w:t xml:space="preserve">ООО «Молочный двор»</w:t>
      </w:r>
    </w:p>
    <w:p>
      <w:pPr>
        <w:pStyle w:val="BodyText"/>
      </w:pPr>
      <w:r>
        <w:t xml:space="preserve">в лице генерального директора А. С. Смирнова, действующего на основании устава,</w:t>
      </w:r>
    </w:p>
    <w:p>
      <w:pPr>
        <w:pStyle w:val="BodyText"/>
      </w:pPr>
      <w:r>
        <w:t xml:space="preserve">и ООО «Пятёрочка-Франшиза»</w:t>
      </w:r>
    </w:p>
    <w:p>
      <w:pPr>
        <w:pStyle w:val="BodyText"/>
      </w:pPr>
      <w:r>
        <w:t xml:space="preserve">в лице директора И. И. Кузнецова, действующего на основании устава,</w:t>
      </w:r>
    </w:p>
    <w:bookmarkStart w:id="10" w:name="X7ac566b240ce3d400f3d735c3c07d5573368de0"/>
    <w:p>
      <w:pPr>
        <w:pStyle w:val="Heading1"/>
      </w:pPr>
      <w:r>
        <w:t xml:space="preserve">Договор поставки продовольственных товаров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Поставщик обязуется передать Покупателю продовольственные товары по спецификации (приложение № 1), а Покупатель — принять и оплатить их. Ассортимент, количество и цена единицы указаны в спецификации; заявки Покупателя на отдельные партии — в приложении № 2.</w:t>
      </w:r>
    </w:p>
    <w:p>
      <w:pPr>
        <w:pStyle w:val="BodyText"/>
      </w:pPr>
      <w:r>
        <w:t xml:space="preserve">2. Сроки поставки. Поставка — партиями по заявкам Покупателя в течение 3 рабочих дней с момента получения заявки. Заявка направляется на адрес электронной почты, указанный в реквизитах.</w:t>
      </w:r>
    </w:p>
    <w:p>
      <w:pPr>
        <w:pStyle w:val="BodyText"/>
      </w:pPr>
      <w:r>
        <w:t xml:space="preserve">3. Качество и срок годности. Товар соответствует требованиям технических регламентов Таможенного союза и сопровождается документами, подтверждающими качество и безопасность. Остаточный срок годности на момент поставки — не менее 80 % от общего срока годности.</w:t>
      </w:r>
    </w:p>
    <w:p>
      <w:pPr>
        <w:pStyle w:val="BodyText"/>
      </w:pPr>
      <w:r>
        <w:t xml:space="preserve">4. Цена и оплата. Цена товара указана в спецификации и включает НДС по ставке 22 %. Оплата — в течение 10 рабочих дней с даты приёмки партии и получения счёта и накладной, но не позднее предельного срока со дня фактического получения товара, установленного ч. 7 ст. 9 Федерального закона № 381-ФЗ для соответствующего товара.</w:t>
      </w:r>
    </w:p>
    <w:p>
      <w:pPr>
        <w:pStyle w:val="BodyText"/>
      </w:pPr>
      <w:r>
        <w:t xml:space="preserve">5. Приёмка. Покупатель принимает товар по количеству и качеству в момент передачи. О недостаче или несоответствии качества Покупатель сообщает в день приёмки, делая отметку в накладной; скрытые недостатки выявляются в течение срока годности.</w:t>
      </w:r>
    </w:p>
    <w:p>
      <w:pPr>
        <w:pStyle w:val="BodyText"/>
      </w:pPr>
      <w:r>
        <w:t xml:space="preserve">6. Ответственность. За просрочку оплаты Покупатель платит пени в размере 0,1 % от суммы долга за каждый день просрочки. За просрочку поставки Поставщик платит пени в размере 0,1 % от стоимости непоставленного товара за каждый день.</w:t>
      </w:r>
    </w:p>
    <w:p>
      <w:pPr>
        <w:pStyle w:val="BodyText"/>
      </w:pPr>
      <w:r>
        <w:t xml:space="preserve">7. Срок действия и расторжение. Договор действует до 31 декабря 2027 года, а в части расчётов — до полного исполнения обязательств. Расторжение — по соглашению сторон или в суде по основаниям Гражданского кодекса.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«Молочный двор»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«Пятёрочка-Франшиза»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продовольственных товаров</dc:title>
  <dc:creator/>
  <dc:language>ru</dc:language>
  <cp:keywords/>
  <dcterms:created xsi:type="dcterms:W3CDTF">2026-11-01T20:32:11Z</dcterms:created>
  <dcterms:modified xsi:type="dcterms:W3CDTF">2026-11-01T20:32:11Z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