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 с одной стороны</w:t>
      </w:r>
    </w:p>
    <w:p>
      <w:pPr>
        <w:pStyle w:val="BodyText"/>
      </w:pPr>
      <w:r>
        <w:t xml:space="preserve">и гражданин И. И. Иванов, паспорт 45 00 № 123456, выдан ОВД района Хамовники г. Москвы 12.03.2015, зарегистрированный по адресу: г. Москва, ул. Льва Толстого, д. 10, кв. 5, именуемый в дальнейшем «Подрядчик», с другой стороны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Xba571b324b2142f1b4e0438cadfe1b7344a6af2"/>
    <w:p>
      <w:pPr>
        <w:pStyle w:val="Heading2"/>
      </w:pPr>
      <w:r>
        <w:t xml:space="preserve">на выполнение работ (оказание услуг) с физическим лицом</w:t>
      </w:r>
    </w:p>
    <w:p>
      <w:pPr>
        <w:pStyle w:val="FirstParagraph"/>
      </w:pPr>
      <w:r>
        <w:t xml:space="preserve">16 ноября 2026 г. № 14/П</w:t>
      </w:r>
    </w:p>
    <w:p>
      <w:pPr>
        <w:pStyle w:val="BodyText"/>
      </w:pPr>
      <w:r>
        <w:t xml:space="preserve">1. Предмет договора. Подрядчик обязуется выполнить по заданию Заказчика работы: разработать проект системы вентиляции офиса по адресу: г. Москва, ул. Складочная, д. 1, — и передать результат Заказчику, а Заказчик обязуется принять результат и оплатить его. Результат передаётся в виде альбома чертежей на бумаге и в электронном виде, а также пояснительной записки.</w:t>
      </w:r>
    </w:p>
    <w:p>
      <w:pPr>
        <w:pStyle w:val="BodyText"/>
      </w:pPr>
      <w:r>
        <w:t xml:space="preserve">2. Сроки. Начало работ — 17 ноября 2026 г., окончание — 15 декабря 2026 г. Работы выполняются по графику, согласованному в приложении № 1.</w:t>
      </w:r>
    </w:p>
    <w:p>
      <w:pPr>
        <w:pStyle w:val="BodyText"/>
      </w:pPr>
      <w:r>
        <w:t xml:space="preserve">3. Цена и порядок оплаты. Цена работ — 120 000 (сто двадцать тысяч) рублей, НДФЛ не включён и удерживается Заказчиком из вознаграждения. Оплата — в течение 10 рабочих дней после подписания акта приёмки.</w:t>
      </w:r>
    </w:p>
    <w:p>
      <w:pPr>
        <w:pStyle w:val="BodyText"/>
      </w:pPr>
      <w:r>
        <w:t xml:space="preserve">4. Порядок приёмки. Подрядчик передаёт результат и акт приёмки. Заказчик в течение 5 рабочих дней проверяет результат и подписывает акт либо направляет мотивированный отказ с перечнем недостатков.</w:t>
      </w:r>
    </w:p>
    <w:p>
      <w:pPr>
        <w:pStyle w:val="BodyText"/>
      </w:pPr>
      <w:r>
        <w:t xml:space="preserve">5. Материалы и оборудование. Работы выполняются из материалов и инструментом Подрядчика. Стоимость материалов включена в цену работ.</w:t>
      </w:r>
    </w:p>
    <w:p>
      <w:pPr>
        <w:pStyle w:val="BodyText"/>
      </w:pPr>
      <w:r>
        <w:t xml:space="preserve">6. Налоги. Заказчик является налоговым агентом по НДФЛ и удерживает налог из вознаграждения Подрядчика, а также начисляет страховые взносы в порядке, установленном НК РФ.</w:t>
      </w:r>
    </w:p>
    <w:p>
      <w:pPr>
        <w:pStyle w:val="BodyText"/>
      </w:pPr>
      <w:r>
        <w:t xml:space="preserve">7. Ответственность. За нарушение срока окончания работ Подрядчик уплачивает пеню в размере 0,1 % от цены работ за каждый день просрочки, но не более 10 % цены.</w:t>
      </w:r>
    </w:p>
    <w:p>
      <w:pPr>
        <w:pStyle w:val="BodyText"/>
      </w:pPr>
      <w:r>
        <w:t xml:space="preserve">8. Прочие условия. Подрядчик не подчиняется правилам внутреннего трудового распорядка Заказчика, самостоятельно определяет время и способ выполнения работ, вправе привлекать третьих лиц только с письменного согласия Заказчика. Договор вступает в силу с момента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2026-10-31T20:32:14Z</dcterms:created>
  <dcterms:modified xsi:type="dcterms:W3CDTF">2026-10-31T20:32:14Z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