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ИП Иванов Иван Иванович</w:t>
      </w:r>
    </w:p>
    <w:p>
      <w:pPr>
        <w:pStyle w:val="BodyText"/>
      </w:pPr>
      <w:r>
        <w:t xml:space="preserve">именуемые в дальнейшем «Стороны», заключили договор о нижеследующем: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на-выполнение-ремонтных-работ"/>
    <w:p>
      <w:pPr>
        <w:pStyle w:val="Heading2"/>
      </w:pPr>
      <w:r>
        <w:t xml:space="preserve">на выполнение ремонтных работ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Предмет. Подрядчик обязуется по заданию Заказчика выполнить ремонт помещения по адресу: г. Москва, ул. Лесная, д. 5, пом. 12, — а Заказчик принять результат и оплатить его. Перечень и объём работ — в смете (приложение № 1), которая является неотъемлемой частью договора.</w:t>
      </w:r>
    </w:p>
    <w:p>
      <w:pPr>
        <w:pStyle w:val="BodyText"/>
      </w:pPr>
      <w:r>
        <w:t xml:space="preserve">2. Сроки. Начало работ — 23 ноября 2026 года, окончание — 25 декабря 2026 года. Работы выполняются в один этап; дата окончания этапа — дата сдачи результата Заказчику.</w:t>
      </w:r>
    </w:p>
    <w:p>
      <w:pPr>
        <w:pStyle w:val="BodyText"/>
      </w:pPr>
      <w:r>
        <w:t xml:space="preserve">3. Цена и оплата. Цена работ — 480 000 рублей, включает стоимость работ и материалов Подрядчика. Аванс — 30 % цены, 144 000 рублей, в течение 5 рабочих дней с даты подписания договора. Остаток — в течение 5 рабочих дней с даты подписания акта. Цена твёрдая и меняется только по соглашению Сторон.</w:t>
      </w:r>
    </w:p>
    <w:p>
      <w:pPr>
        <w:pStyle w:val="BodyText"/>
      </w:pPr>
      <w:r>
        <w:t xml:space="preserve">4. Материалы. Материалы закупает Подрядчик по согласованной ведомости (приложение № 2) и отчитывается об израсходовании, возвращая остаток. Материалы, переданные Заказчиком, Подрядчик использует экономно и расчетливо; об остатке отчитывается вместе с актом.</w:t>
      </w:r>
    </w:p>
    <w:p>
      <w:pPr>
        <w:pStyle w:val="BodyText"/>
      </w:pPr>
      <w:r>
        <w:t xml:space="preserve">5. Приёмка. Заказчик осматривает результат в течение 5 рабочих дней с даты получения сообщения о готовности и подписывает акт либо направляет мотивированный отказ с перечнем недостатков. Недостатки, которые делают результат непригодным для использования, Подрядчик устраняет своими силами и за свой счёт.</w:t>
      </w:r>
    </w:p>
    <w:p>
      <w:pPr>
        <w:pStyle w:val="BodyText"/>
      </w:pPr>
      <w:r>
        <w:t xml:space="preserve">6. Гарантия. Подрядчик отвечает за недостатки результата в течение 12 месяцев с даты подписания акта, если не докажет, что они возникли из-за нормального износа или неправильной эксплуатации.</w:t>
      </w:r>
    </w:p>
    <w:p>
      <w:pPr>
        <w:pStyle w:val="BodyText"/>
      </w:pPr>
      <w:r>
        <w:t xml:space="preserve">7. Споры. Стороны решают споры переговорами; претензию рассматривают в течение 10 рабочих дней с даты получения. Если согласия нет — спор передаётся в арбитражный суд по месту нахождения Заказчика.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2026-10-28T22:22:51Z</dcterms:created>
  <dcterms:modified xsi:type="dcterms:W3CDTF">2026-10-28T22:22:51Z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