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груза</w:t>
      </w:r>
    </w:p>
    <w:p>
      <w:pPr>
        <w:pStyle w:val="FirstParagraph"/>
      </w:pPr>
      <w:r>
        <w:t xml:space="preserve">ООО «Ромашка», именуемое в дальнейшем «Перевозчик»,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«Грузоотправитель»,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еревозки-груза"/>
    <w:p>
      <w:pPr>
        <w:pStyle w:val="Heading1"/>
      </w:pPr>
      <w:r>
        <w:t xml:space="preserve">Договор перевозки груза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Перевозчик обязуется доставить вверенный ему Грузоотправителем груз по маршруту Москва — Казань в срок до 20 ноября 2026 года и выдать его грузополучателю ООО «Колос», а Грузоотправитель обязуется уплатить за перевозку плату 48 000 рублей.</w:t>
      </w:r>
    </w:p>
    <w:p>
      <w:pPr>
        <w:pStyle w:val="BodyText"/>
      </w:pPr>
      <w:r>
        <w:t xml:space="preserve">2. Груз и документы. На каждую партию составляется транспортная накладная в электронном виде; в ней указываются наименование и вес груза, адрес погрузки и выгрузки, срок доставки.</w:t>
      </w:r>
    </w:p>
    <w:p>
      <w:pPr>
        <w:pStyle w:val="BodyText"/>
      </w:pPr>
      <w:r>
        <w:t xml:space="preserve">3. Погрузка и выгрузка. Погрузку в транспортное средство и выгрузку из него выполняет Грузоотправитель своими силами и за свой счёт.</w:t>
      </w:r>
    </w:p>
    <w:p>
      <w:pPr>
        <w:pStyle w:val="BodyText"/>
      </w:pPr>
      <w:r>
        <w:t xml:space="preserve">4. Плата и расчёты. Провозная плата вносится в течение 5 рабочих дней после выдачи груза грузополучателю на основании счёта и транспортной накладной.</w:t>
      </w:r>
    </w:p>
    <w:p>
      <w:pPr>
        <w:pStyle w:val="BodyText"/>
      </w:pPr>
      <w:r>
        <w:t xml:space="preserve">5. Ответственность. За просрочку доставки Перевозчик уплачивает Грузоотправителю неустойку в размере ______ % провозной платы за каждый день просрочки.</w:t>
      </w:r>
    </w:p>
    <w:p>
      <w:pPr>
        <w:pStyle w:val="BodyText"/>
      </w:pPr>
      <w:r>
        <w:t xml:space="preserve">6. Срок действия и споры. Договор вступает в силу с даты подписания и действует до 31 декабря 2026 года. Споры передаются в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</dc:title>
  <dc:creator/>
  <dc:language>ru</dc:language>
  <cp:keywords/>
  <dcterms:created xsi:type="dcterms:W3CDTF">2026-10-30T21:47:36Z</dcterms:created>
  <dcterms:modified xsi:type="dcterms:W3CDTF">2026-10-30T21:47:36Z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