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об отступном</w:t>
      </w:r>
    </w:p>
    <w:p>
      <w:pPr>
        <w:pStyle w:val="FirstParagraph"/>
      </w:pPr>
      <w:r>
        <w:t xml:space="preserve">Общество с ограниченной ответственностью «Ромашка», ИНН 7700000000, ОГРН 1157700000000, в лице генерального директора Петрова Петра Петровича, действующего на основании устава, именуемое в дальнейшем «Кредитор»</w:t>
      </w:r>
    </w:p>
    <w:p>
      <w:pPr>
        <w:pStyle w:val="BodyText"/>
      </w:pPr>
      <w:r>
        <w:t xml:space="preserve">и Общество с ограниченной ответственностью «Лютик», ИНН 7700000001, ОГРН 1157700000001, в лице генерального директора Иванова Ивана Ивановича, действующего на основании устава, именуемое в дальнейшем «Должник»</w:t>
      </w:r>
    </w:p>
    <w:p>
      <w:pPr>
        <w:pStyle w:val="BodyText"/>
      </w:pPr>
      <w:r>
        <w:t xml:space="preserve">заключили настоящее соглашение о нижеследующем.</w:t>
      </w:r>
    </w:p>
    <w:bookmarkStart w:id="10" w:name="соглашение-об-отступном"/>
    <w:p>
      <w:pPr>
        <w:pStyle w:val="Heading1"/>
      </w:pPr>
      <w:r>
        <w:t xml:space="preserve">Соглашение об отступном</w:t>
      </w:r>
    </w:p>
    <w:bookmarkStart w:id="9" w:name="по-договору-займа-от-12-марта-2026-г.-7"/>
    <w:p>
      <w:pPr>
        <w:pStyle w:val="Heading2"/>
      </w:pPr>
      <w:r>
        <w:t xml:space="preserve">по договору займа от 12 марта 2026 г. № 7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По договору займа от 12 марта 2026 г. № 7 Должник получил от Кредитора 3 000 000 рублей со сроком возврата 30 сентября 2026 года. К указанной дате заём не возвращён.</w:t>
      </w:r>
    </w:p>
    <w:p>
      <w:pPr>
        <w:pStyle w:val="BodyText"/>
      </w:pPr>
      <w:r>
        <w:t xml:space="preserve">2. Стороны договорились прекратить обязательство по возврату займа предоставлением отступного: Должник передаёт Кредитору нежилое помещение площадью 120 кв. м с кадастровым номером 77:00:0000000:000, расположенное по адресу: г. Москва, ул. Примерная, д. 1, пом. 2. Стоимость передаваемого имущества стороны оценивают в 3 000 000 рублей.</w:t>
      </w:r>
    </w:p>
    <w:p>
      <w:pPr>
        <w:pStyle w:val="BodyText"/>
      </w:pPr>
      <w:r>
        <w:t xml:space="preserve">3. Должник передаёт помещение в течение 30 дней с даты подписания соглашения по акту приёма-передачи. Право собственности переходит к Кредитору с момента государственной регистрации в Едином государственном реестре недвижимости.</w:t>
      </w:r>
    </w:p>
    <w:p>
      <w:pPr>
        <w:pStyle w:val="BodyText"/>
      </w:pPr>
      <w:r>
        <w:t xml:space="preserve">4. Обязательство Должника по возврату займа прекращается с момента государственной регистрации перехода права собственности на помещение к Кредитору.</w:t>
      </w:r>
    </w:p>
    <w:p>
      <w:pPr>
        <w:pStyle w:val="BodyText"/>
      </w:pPr>
      <w:r>
        <w:t xml:space="preserve">5. Должник вправе вместо передачи помещения вернуть заём деньгами в размере и сроки, указанные в договоре займа.</w:t>
      </w:r>
    </w:p>
    <w:p>
      <w:pPr>
        <w:pStyle w:val="BodyText"/>
      </w:pPr>
      <w:r>
        <w:t xml:space="preserve">6. Расходы на государственную регистрацию несёт Должник.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Генеральный 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отступном</dc:title>
  <dc:creator/>
  <dc:language>ru</dc:language>
  <cp:keywords/>
  <dcterms:created xsi:type="dcterms:W3CDTF">2026-11-02T20:31:48Z</dcterms:created>
  <dcterms:modified xsi:type="dcterms:W3CDTF">2026-11-02T20:31:48Z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