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отчуждении исключительного права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X25ea55d5beddb6ca4031277ad5038131ec7eafc"/>
    <w:p>
      <w:pPr>
        <w:pStyle w:val="Heading1"/>
      </w:pPr>
      <w:r>
        <w:t xml:space="preserve">Договор об отчуждении исключительного права</w:t>
      </w:r>
    </w:p>
    <w:bookmarkStart w:id="9" w:name="на-программу-для-эвм-касса-5"/>
    <w:p>
      <w:pPr>
        <w:pStyle w:val="Heading2"/>
      </w:pPr>
      <w:r>
        <w:t xml:space="preserve">на программу для ЭВМ «Касса 5»</w:t>
      </w:r>
    </w:p>
    <w:p>
      <w:pPr>
        <w:pStyle w:val="FirstParagraph"/>
      </w:pPr>
      <w:r>
        <w:t xml:space="preserve">№ 7-ОИП</w:t>
      </w:r>
    </w:p>
    <w:p>
      <w:pPr>
        <w:pStyle w:val="BodyText"/>
      </w:pPr>
      <w:r>
        <w:t xml:space="preserve">Общество с ограниченной ответственностью «Ромашка», ОГРН 1157746000000, ИНН 7701000000, адрес: 125009, г. Москва, ул. Тверская, д. 1, в лице генерального директора Петрова Петра Петровича, действующего на основании устава, именуемое в дальнейшем «Правообладатель», с одной стороны, и Общество с ограниченной ответственностью «Василёк», ОГРН 1157746000001, ИНН 7701000001, адрес: 125009, г. Москва, ул. Тверская, д. 3, в лице генерального директора Сидорова Ивана Ивановича, действующего на основании устава, именуемое в дальнейшем «Приобретатель»,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Правообладатель передаёт Приобретателю исключительное право на программу для ЭВМ «Касса 5» (свидетельство о государственной регистрации № 2026612345 от 10 февраля 2026 г.) в полном объёме, а Приобретатель принимает это право и уплачивает вознаграждение в размере и порядке, установленных настоящим договором.</w:t>
      </w:r>
    </w:p>
    <w:p>
      <w:pPr>
        <w:pStyle w:val="BodyText"/>
      </w:pPr>
      <w:r>
        <w:t xml:space="preserve">2. Исключительное право переходит к Приобретателю с момента государственной регистрации перехода права в федеральном органе исполнительной власти по интеллектуальной собственности. Расходы на регистрацию несёт Приобретатель.</w:t>
      </w:r>
    </w:p>
    <w:p>
      <w:pPr>
        <w:pStyle w:val="BodyText"/>
      </w:pPr>
      <w:r>
        <w:t xml:space="preserve">3. Вознаграждение за передачу права составляет 1 200 000 рублей, НДС не облагается. Приобретатель уплачивает его в течение 10 рабочих дней с даты государственной регистрации перехода права на расчётный счёт Правообладателя.</w:t>
      </w:r>
    </w:p>
    <w:p>
      <w:pPr>
        <w:pStyle w:val="BodyText"/>
      </w:pPr>
      <w:r>
        <w:t xml:space="preserve">4. Правообладатель гарантирует, что на дату подписания договора исключительное право принадлежит ему, не заложено, не передано третьим лицам и не обременено правами третьих лиц, а на объект не заключён действующий лицензионный договор.</w:t>
      </w:r>
    </w:p>
    <w:p>
      <w:pPr>
        <w:pStyle w:val="BodyText"/>
      </w:pPr>
      <w:r>
        <w:t xml:space="preserve">5. Договор вступает в силу с даты подписания и действует до полного исполнения сторонами обязательств. Споры передаются на рассмотрение Арбитражного суда города Москвы.</w:t>
      </w:r>
    </w:p>
    <w:p>
      <w:pPr>
        <w:pStyle w:val="BodyText"/>
      </w:pPr>
      <w:r>
        <w:t xml:space="preserve">6. Договор составлен в трёх экземплярах, имеющих равную юридическую силу: по одному для каждой стороны и один для регистрирующего органа.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Правообладатель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Приобретатель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отчуждении исключительного права</dc:title>
  <dc:creator/>
  <dc:language>ru</dc:language>
  <cp:keywords/>
  <dcterms:created xsi:type="dcterms:W3CDTF">2026-11-06T21:46:05Z</dcterms:created>
  <dcterms:modified xsi:type="dcterms:W3CDTF">2026-11-06T21:46:05Z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