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присоединении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договор-о-присоединении"/>
    <w:p>
      <w:pPr>
        <w:pStyle w:val="Heading1"/>
      </w:pPr>
      <w:r>
        <w:t xml:space="preserve">Договор о присоединении</w:t>
      </w:r>
    </w:p>
    <w:bookmarkStart w:id="9" w:name="X55f5d33bb387c7f3d94eb1f7a00438208de3070"/>
    <w:p>
      <w:pPr>
        <w:pStyle w:val="Heading2"/>
      </w:pPr>
      <w:r>
        <w:t xml:space="preserve">общества с ограниченной ответственностью «Ромашка» к обществу с ограниченной ответственностью «Василёк»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Уставный капитал и доли: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Правопреемство: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Кредиторы и публикация: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Передача имущества и документов: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Срок действия и споры: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Основное 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Присоединяемое общество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присоединении</dc:title>
  <dc:creator/>
  <dc:language>ru</dc:language>
  <cp:keywords/>
  <dcterms:created xsi:type="dcterms:W3CDTF">2026-11-01T20:32:01Z</dcterms:created>
  <dcterms:modified xsi:type="dcterms:W3CDTF">2026-11-01T20:32:01Z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