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главный бухгалтер И. И. Иванова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Xc8783352bc0125d756079b96d61f6999a0e0ed1"/>
    <w:p>
      <w:pPr>
        <w:pStyle w:val="Heading2"/>
      </w:pPr>
      <w:r>
        <w:t xml:space="preserve">о полной материальной ответственности главного бухгалтера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Дополнить трудовой договор от 12 января 2024 г. № 5 пунктом 4.3 следующего содержания: «Работник несёт полную материальную ответственность за ущерб, причинённый Работодателю, в соответствии со статьями 243 и 277 Трудового кодекса Российской Федерации».</w:t>
      </w:r>
    </w:p>
    <w:p>
      <w:pPr>
        <w:pStyle w:val="BodyText"/>
      </w:pPr>
      <w:r>
        <w:t xml:space="preserve">Полная материальная ответственность наступает за прямой действительный ущерб: недостачу и порчу имущества, излишне выплаченные суммы, штрафы и пени, уплаченные из-за нарушений, допущенных работником.</w:t>
      </w:r>
    </w:p>
    <w:p>
      <w:pPr>
        <w:pStyle w:val="BodyText"/>
      </w:pPr>
      <w:r>
        <w:t xml:space="preserve">Ущерб взыскивается в пределах среднего месячного заработка по распоряжению Работодателя, свыше — только по решению суда. Работник вправе дать письменное объяснение и оспорить размер ущерба.</w:t>
      </w:r>
    </w:p>
    <w:p>
      <w:pPr>
        <w:pStyle w:val="BodyText"/>
      </w:pPr>
      <w:r>
        <w:t xml:space="preserve">Соглашение вступает в силу с даты подписания и является неотъемлемой частью трудового договора.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2026-11-05T20:31:04Z</dcterms:created>
  <dcterms:modified xsi:type="dcterms:W3CDTF">2026-11-05T20:31:04Z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