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с одной стороны, и</w:t>
      </w:r>
    </w:p>
    <w:p>
      <w:pPr>
        <w:pStyle w:val="BodyText"/>
      </w:pPr>
      <w:r>
        <w:t xml:space="preserve">продавец-кассир И. И. Иванова,</w:t>
      </w:r>
    </w:p>
    <w:p>
      <w:pPr>
        <w:pStyle w:val="BodyText"/>
      </w:pPr>
      <w:r>
        <w:t xml:space="preserve">именуемая в дальнейшем «Работник», с другой стороны,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 на себя полную материальную ответственность за недостачу вверенных ему Работодателем товарно-материальных ценностей и денежных средств,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Работодатель обязуется создать Работнику условия для нормальной работы и обеспечения сохранности вверенных ему ценностей: оборудовать торговое место, вести учёт товара, знакомить Работника с нормами приёма, хранения и продажи.</w:t>
      </w:r>
    </w:p>
    <w:p>
      <w:pPr>
        <w:pStyle w:val="BodyText"/>
      </w:pPr>
      <w:r>
        <w:t xml:space="preserve">Работник обязуется бережно относиться к переданным ему ценностям, своевременно сообщать Работодателю обо всех обстоятельствах, угрожающих их сохранности, и вести учёт по установленной форме.</w:t>
      </w:r>
    </w:p>
    <w:p>
      <w:pPr>
        <w:pStyle w:val="BodyText"/>
      </w:pPr>
      <w:r>
        <w:t xml:space="preserve">Определение размера ущерба и порядок его взыскания производятся по Трудовому кодексу Российской Федерации.</w:t>
      </w:r>
    </w:p>
    <w:p>
      <w:pPr>
        <w:pStyle w:val="BodyText"/>
      </w:pPr>
      <w:r>
        <w:t xml:space="preserve">Договор вступает в силу с 16 ноября 2026 года и действует на весь период работы с вверенными Работнику ценностями.</w:t>
      </w:r>
    </w:p>
    <w:p>
      <w:pPr>
        <w:pStyle w:val="BodyText"/>
      </w:pPr>
      <w:r>
        <w:t xml:space="preserve">Договор составлен в двух экземплярах, имеющих одинаковую юридическую силу: один хранится у Работодателя, второй передан Работнику.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Продавец-кассир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2026-11-03T20:32:41Z</dcterms:created>
  <dcterms:modified xsi:type="dcterms:W3CDTF">2026-11-03T20:32:41Z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