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кладовщик И. И. Иванов</w:t>
      </w:r>
    </w:p>
    <w:bookmarkStart w:id="10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bookmarkStart w:id="9" w:name="X3da88af13223b0826dce877b1949e51f09daee2"/>
    <w:p>
      <w:pPr>
        <w:pStyle w:val="Heading2"/>
      </w:pPr>
      <w:r>
        <w:t xml:space="preserve">по приказу Минтруда России от 16.04.2025 № 251н</w:t>
      </w:r>
    </w:p>
    <w:p>
      <w:pPr>
        <w:pStyle w:val="FirstParagraph"/>
      </w:pPr>
      <w:r>
        <w:t xml:space="preserve">1 сентября 2026 г. № 7</w:t>
      </w:r>
    </w:p>
    <w:p>
      <w:pPr>
        <w:pStyle w:val="BodyText"/>
      </w:pPr>
      <w:r>
        <w:t xml:space="preserve">Работник занимает должность кладовщика, которая включена в перечень должностей, утверждённый приказом Минтруда России от 16.04.2025 № 251н, и непосредственно обслуживает товарно-материальные ценности, переданные ему на складе.</w:t>
      </w:r>
    </w:p>
    <w:p>
      <w:pPr>
        <w:pStyle w:val="BodyText"/>
      </w:pPr>
      <w:r>
        <w:t xml:space="preserve">Работодатель передаёт работнику товарно-материальные ценности, а работник принимает их и обязуется бережно относиться к вверенному имуществу, вести учёт, своевременно сообщать о порче, недостаче или угрозе сохранности и не разглашать сведения о хранении и перевозке ценностей.</w:t>
      </w:r>
    </w:p>
    <w:p>
      <w:pPr>
        <w:pStyle w:val="BodyText"/>
      </w:pPr>
      <w:r>
        <w:t xml:space="preserve">Работодатель обязуется создать работнику условия для сохранности имущества: оборудовать склад, обеспечить весы и пломбы, знакомить работника с порядком учёта и хранения.</w:t>
      </w:r>
    </w:p>
    <w:p>
      <w:pPr>
        <w:pStyle w:val="BodyText"/>
      </w:pPr>
      <w:r>
        <w:t xml:space="preserve">Работник не несёт ответственности, если ущерб возник из-за непреодолимой силы, нормального хозяйственного риска, крайней необходимости или необходимой обороны либо если работодатель не обеспечил условий для сохранности имущества.</w:t>
      </w:r>
    </w:p>
    <w:p>
      <w:pPr>
        <w:pStyle w:val="BodyText"/>
      </w:pPr>
      <w:r>
        <w:t xml:space="preserve">Размер ущерба определяют по фактическим потерям исходя из рыночных цен на день причинения ущерба, но не ниже стоимости имущества по данным бухгалтерского учёта с учётом износа.</w:t>
      </w:r>
    </w:p>
    <w:p>
      <w:pPr>
        <w:pStyle w:val="BodyText"/>
      </w:pPr>
      <w:r>
        <w:t xml:space="preserve">Договор вступает в силу со дня подписания и действует на весь срок работы с вверенным имуществом. Стороны могут дополнить или изменить его письменным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2026-10-28T22:22:39Z</dcterms:created>
  <dcterms:modified xsi:type="dcterms:W3CDTF">2026-10-28T22:22:39Z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