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номинального счета</w:t>
      </w:r>
    </w:p>
    <w:p>
      <w:pPr>
        <w:pStyle w:val="FirstParagraph"/>
      </w:pPr>
      <w:r>
        <w:t xml:space="preserve">Публичное акционерное общество «Банк»</w:t>
      </w:r>
    </w:p>
    <w:p>
      <w:pPr>
        <w:pStyle w:val="BodyText"/>
      </w:pPr>
      <w:r>
        <w:t xml:space="preserve">и ООО «Ромашка», именуемое в дальнейшем «Владелец счета»,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номинального-счета"/>
    <w:p>
      <w:pPr>
        <w:pStyle w:val="Heading1"/>
      </w:pPr>
      <w:r>
        <w:t xml:space="preserve">Договор номинального счета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Банк открывает Владельцу счета номинальный счет в рублях для совершения операций с денежными средствами, права на которые принадлежат бенефициару — ООО «Заказчик», и обязуется принимать и зачислять поступающие на счет денежные средства, выполнять распоряжения Владельца счета в порядке, установленном договором и законом.</w:t>
      </w:r>
    </w:p>
    <w:p>
      <w:pPr>
        <w:pStyle w:val="BodyText"/>
      </w:pPr>
      <w:r>
        <w:t xml:space="preserve">2. Бенефициар. Бенефициаром по договору является ООО «Заказчик», ИНН 7700000000, ОГРН 1157700000000. Основание участия бенефициара в отношениях по договору — агентский договор от 10 ноября 2026 г. № 7, по которому Владелец счета принимает платежи заказчиков в пользу бенефициара.</w:t>
      </w:r>
    </w:p>
    <w:p>
      <w:pPr>
        <w:pStyle w:val="BodyText"/>
      </w:pPr>
      <w:r>
        <w:t xml:space="preserve">3. Контроль банка. Банк контролирует направления использования денежных средств в интересах бенефициара: расходные операции по счету проводятся в пределах суммы, поступившей в пользу бенефициара, и только на цели, указанные в договоре и в документах, которые Владелец счета представляет банку.</w:t>
      </w:r>
    </w:p>
    <w:p>
      <w:pPr>
        <w:pStyle w:val="BodyText"/>
      </w:pPr>
      <w:r>
        <w:t xml:space="preserve">4. Операции по счету. Владелец счета распоряжается денежными средствами в интересах бенефициара, а при нескольких бенефициарах банк ведет учет денежных средств каждого из них. Владелец счета представляет банку документы, подтверждающие основания платежа.</w:t>
      </w:r>
    </w:p>
    <w:p>
      <w:pPr>
        <w:pStyle w:val="BodyText"/>
      </w:pPr>
      <w:r>
        <w:t xml:space="preserve">5. Вознаграждение банка. За открытие и обслуживание счета, а также за совершение операций Владелец счета платит банку по тарифам, действующим на день операции.</w:t>
      </w:r>
    </w:p>
    <w:p>
      <w:pPr>
        <w:pStyle w:val="BodyText"/>
      </w:pPr>
      <w:r>
        <w:t xml:space="preserve">6. Расторжение. Договор расторгается по заявлению Владельца счета, а остаток денежных средств перечисляется бенефициару либо, если бенефициаров несколько, каждому в причитающейся ему сумме.</w:t>
      </w:r>
    </w:p>
    <w:p>
      <w:pPr>
        <w:pStyle w:val="BodyText"/>
      </w:pPr>
      <w:r>
        <w:t xml:space="preserve">7. Заключительные положения. Договор составлен в двух экземплярах, по одному для каждой стороны, и подписан сторонами с указанием даты заключения.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Банк</w:t>
            </w:r>
          </w:p>
          <w:p>
            <w:pPr>
              <w:pStyle w:val="BodyText"/>
            </w:pPr>
            <w:r>
              <w:t xml:space="preserve">Управляющий дополнительным офисом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Владелец счета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номинального счета</dc:title>
  <dc:creator/>
  <dc:language>ru</dc:language>
  <cp:keywords/>
  <dcterms:created xsi:type="dcterms:W3CDTF">2026-11-07T20:35:26Z</dcterms:created>
  <dcterms:modified xsi:type="dcterms:W3CDTF">2026-11-07T20:35:26Z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