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паспорт 45 00 № 123456,</w:t>
      </w:r>
    </w:p>
    <w:p>
      <w:pPr>
        <w:pStyle w:val="BodyText"/>
      </w:pPr>
      <w:r>
        <w:t xml:space="preserve">зарегистрированный по адресу: г. Москва, ул. Лесная, д. 5, кв. 12,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работы по изготовлению восьми деревянных скамеек по эскизу заказчика, а заказчик обязуется принять результат и оплатить его. Результат передаётся по акту приёмки.</w:t>
      </w:r>
    </w:p>
    <w:p>
      <w:pPr>
        <w:pStyle w:val="BodyText"/>
      </w:pPr>
      <w:r>
        <w:t xml:space="preserve">2. Сроки. Начало работ — 17 ноября 2026 года, окончание — 30 ноября 2026 года. Работы выполняются на территории подрядчика; материалы подрядчик закупает сам и включает их стоимость в цену.</w:t>
      </w:r>
    </w:p>
    <w:p>
      <w:pPr>
        <w:pStyle w:val="BodyText"/>
      </w:pPr>
      <w:r>
        <w:t xml:space="preserve">3. Цена и порядок оплаты. Цена работ — 120 000 рублей, включает стоимость материалов и вознаграждение подрядчика. Оплата — в течение 5 рабочих дней после подписания акта приёмки на счёт подрядчика.</w:t>
      </w:r>
    </w:p>
    <w:p>
      <w:pPr>
        <w:pStyle w:val="BodyText"/>
      </w:pPr>
      <w:r>
        <w:t xml:space="preserve">4. Налоги. Заказчик является налоговым агентом: удерживает НДФЛ с вознаграждения подрядчика и перечисляет его в бюджет, начисляет страховые взносы в порядке, установленном НК РФ. Подрядчик не является плательщиком НДС.</w:t>
      </w:r>
    </w:p>
    <w:p>
      <w:pPr>
        <w:pStyle w:val="BodyText"/>
      </w:pPr>
      <w:r>
        <w:t xml:space="preserve">5. Приёмка. Подрядчик передаёт результат и акт приёмки. Заказчик в течение 5 рабочих дней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6. Ответственность. За просрочку оплаты заказчик платит подрядчику пени в размере 1/300 ключевой ставки Банка России за каждый день просрочки от неоплаченной суммы.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2026-10-31T20:32:01Z</dcterms:created>
  <dcterms:modified xsi:type="dcterms:W3CDTF">2026-10-31T20:32:01Z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