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утилизацию люминесцентных ламп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Заказчик: 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2c7abab2942e40e7f6bf3a3909e72529ddb7eb8"/>
    <w:p>
      <w:pPr>
        <w:pStyle w:val="Heading1"/>
      </w:pPr>
      <w:r>
        <w:t xml:space="preserve">Договор на утилизацию люминесцентных ламп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договора: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Лицензия Исполнителя: ____________________________________________________________</w:t>
      </w:r>
    </w:p>
    <w:p>
      <w:pPr>
        <w:pStyle w:val="BodyText"/>
      </w:pPr>
      <w:r>
        <w:t xml:space="preserve">Порядок передачи отходов: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Подтверждающие документы: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Цена и порядок расчётов: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действия: 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утилизацию люминесцентных ламп</dc:title>
  <dc:creator/>
  <dc:language>ru</dc:language>
  <cp:keywords/>
  <dcterms:created xsi:type="dcterms:W3CDTF">2026-11-07T20:35:25Z</dcterms:created>
  <dcterms:modified xsi:type="dcterms:W3CDTF">2026-11-07T20:35:25Z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