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</w:t>
      </w:r>
    </w:p>
    <w:p>
      <w:pPr>
        <w:pStyle w:val="FirstParagraph"/>
      </w:pPr>
      <w:r>
        <w:t xml:space="preserve">Индивидуальный предприниматель Петров Сергей Иванович</w:t>
      </w:r>
    </w:p>
    <w:p>
      <w:pPr>
        <w:pStyle w:val="BodyText"/>
      </w:pPr>
      <w:r>
        <w:t xml:space="preserve">ОГРНИП 321770000123456, ИНН 770123456789</w:t>
      </w:r>
    </w:p>
    <w:p>
      <w:pPr>
        <w:pStyle w:val="BodyText"/>
      </w:pPr>
      <w:r>
        <w:t xml:space="preserve">действующий на основании листа записи Единого государственного реестра индивидуальных предпринимателей, именуемый в дальнейшем «Перевозчик», с одной стороны, и</w:t>
      </w:r>
    </w:p>
    <w:p>
      <w:pPr>
        <w:pStyle w:val="BodyText"/>
      </w:pPr>
      <w:r>
        <w:t xml:space="preserve">ООО «Ромашка», ИНН 7709876543, в лице генерального директора И. И. Иванова, именуемое в дальнейшем «Заказчик», с другой стороны,</w:t>
      </w:r>
    </w:p>
    <w:bookmarkStart w:id="10" w:name="договор-перевозки-груза"/>
    <w:p>
      <w:pPr>
        <w:pStyle w:val="Heading1"/>
      </w:pPr>
      <w:r>
        <w:t xml:space="preserve">Договор перевозки груза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Перевозчик обязуется доставить груз Заказчика по маршруту Москва — Казань, а Заказчик — уплатить за перевозку 45 000 рублей.</w:t>
      </w:r>
    </w:p>
    <w:p>
      <w:pPr>
        <w:pStyle w:val="BodyText"/>
      </w:pPr>
      <w:r>
        <w:t xml:space="preserve">2. Груз: мебель в упаковке, 12 мест, вес 1 800 кг. Погрузка 18 ноября 2026 года по адресу: г. Москва, ул. Складская, д. 4. Выгрузка — 20 ноября 2026 года по адресу: г. Казань, ул. Заводская, д. 10.</w:t>
      </w:r>
    </w:p>
    <w:p>
      <w:pPr>
        <w:pStyle w:val="BodyText"/>
      </w:pPr>
      <w:r>
        <w:t xml:space="preserve">3. Подача автомобиля под погрузку — не позднее 9 часов 18 ноября 2026 года. Перевозчик подаёт исправный автомобиль с кузовом, пригодным для перевозки мебели.</w:t>
      </w:r>
    </w:p>
    <w:p>
      <w:pPr>
        <w:pStyle w:val="BodyText"/>
      </w:pPr>
      <w:r>
        <w:t xml:space="preserve">4. Оплата — 45 000 рублей на счёт Перевозчика в течение 5 рабочих дней после выгрузки и получения Заказчиком товарной накладной и акта.</w:t>
      </w:r>
    </w:p>
    <w:p>
      <w:pPr>
        <w:pStyle w:val="BodyText"/>
      </w:pPr>
      <w:r>
        <w:t xml:space="preserve">5. Перевозчик отвечает за сохранность груза с момента приёмки до выдачи грузополучателю. При повреждении или утрате груза возмещает его стоимость по товарной накладной.</w:t>
      </w:r>
    </w:p>
    <w:p>
      <w:pPr>
        <w:pStyle w:val="BodyText"/>
      </w:pPr>
      <w:r>
        <w:t xml:space="preserve">6. За просрочку доставки Заказчик вправе потребовать неустойку 0,1 % от провозной платы за каждый день просрочки, но не больше провозной платы.</w:t>
      </w:r>
    </w:p>
    <w:p>
      <w:pPr>
        <w:pStyle w:val="BodyText"/>
      </w:pPr>
      <w:r>
        <w:t xml:space="preserve">7. Споры стороны решают переговорами, а при недостижении согласия —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С.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creator/>
  <dc:language>ru</dc:language>
  <cp:keywords/>
  <dcterms:created xsi:type="dcterms:W3CDTF">2026-10-30T21:47:23Z</dcterms:created>
  <dcterms:modified xsi:type="dcterms:W3CDTF">2026-10-30T21:47:23Z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