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рекламных услуг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«Заказчик», с одной стороны, и</w:t>
      </w:r>
    </w:p>
    <w:p>
      <w:pPr>
        <w:pStyle w:val="BodyText"/>
      </w:pPr>
      <w:r>
        <w:t xml:space="preserve">ООО «Реклама Плюс», в лице директора А. А. Сидорова, действующего на основании устава,</w:t>
      </w:r>
    </w:p>
    <w:p>
      <w:pPr>
        <w:pStyle w:val="BodyText"/>
      </w:pPr>
      <w:r>
        <w:t xml:space="preserve">именуемое «Исполнитель», с другой стороны, заключили договор о нижеследующем.</w:t>
      </w:r>
    </w:p>
    <w:bookmarkStart w:id="10" w:name="Xffd2d81d2478b2476d8770ba598d2172c1d83a9"/>
    <w:p>
      <w:pPr>
        <w:pStyle w:val="Heading1"/>
      </w:pPr>
      <w:r>
        <w:t xml:space="preserve">Договор возмездного оказания рекламных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12 ноября 2026 г. № 7/26</w:t>
      </w:r>
    </w:p>
    <w:p>
      <w:pPr>
        <w:pStyle w:val="BodyText"/>
      </w:pPr>
      <w:r>
        <w:t xml:space="preserve">1. Предмет договора. Исполнитель обязуется оказать рекламные услуги по размещению рекламной информации Заказчика в сети Интернет на площадках, перечисленных в приложении № 1 (медиаплан), а Заказчик обязуется принять и оплатить услуги. Медиаплан определяет каналы и площадки, объём (количество показов, выходов, публикаций), формат материалов, график размещения и бюджет по направлениям.</w:t>
      </w:r>
    </w:p>
    <w:p>
      <w:pPr>
        <w:pStyle w:val="BodyText"/>
      </w:pPr>
      <w:r>
        <w:t xml:space="preserve">2. Цена и порядок расчётов. Стоимость услуг — 240 000 рублей. НДС не предъявляется в связи с освобождением Исполнителя от исполнения обязанностей плательщика НДС по статье 145 НК РФ. Оплата: аванс 50 % в течение 5 рабочих дней с даты подписания, остаток — в течение 5 рабочих дней с даты подписания акта.</w:t>
      </w:r>
    </w:p>
    <w:p>
      <w:pPr>
        <w:pStyle w:val="BodyText"/>
      </w:pPr>
      <w:r>
        <w:t xml:space="preserve">3. Сдача услуг. Исполнитель не позднее 5 рабочих дней после окончания отчётного месяца передаёт акт и отчёт о размещениях с данными о фактических показах, выходах, публикациях и периодах размещения. Заказчик подписывает акт или направляет мотивированный отказ в течение 5 рабочих дней.</w:t>
      </w:r>
    </w:p>
    <w:p>
      <w:pPr>
        <w:pStyle w:val="BodyText"/>
      </w:pPr>
      <w:r>
        <w:t xml:space="preserve">4. Ответственность. Заказчик отвечает за достоверность и законность материалов, доступов и прав, которые передаёт Исполнителю, в том числе за соблюдение законодательства о рекламе, о защите авторских и смежных прав, охране товарных знаков. Если из-за материалов Заказчика Исполнителю выставят штраф или предъявят требования, Заказчик возмещает убытки. За просрочку оплаты Заказчик платит неустойку 0,1 % от суммы долга за каждый день. За просрочку размещения Исполнитель платит неустойку 0,1 % от стоимости соответствующего этапа за каждый день.</w:t>
      </w:r>
    </w:p>
    <w:p>
      <w:pPr>
        <w:pStyle w:val="BodyText"/>
      </w:pPr>
      <w:r>
        <w:t xml:space="preserve">5. Споры. Стороны соблюдают претензионный порядок: срок ответа на претензию — 10 рабочих дней. При недостижении согласия спор передаётся в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«Реклама Плюс»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рекламных услуг</dc:title>
  <dc:creator/>
  <dc:language>ru</dc:language>
  <cp:keywords/>
  <dcterms:created xsi:type="dcterms:W3CDTF">2026-10-31T20:31:54Z</dcterms:created>
  <dcterms:modified xsi:type="dcterms:W3CDTF">2026-10-31T20:31:54Z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