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разработке и настройке рекламных кампаний в поисковых системах, а заказчик обязуется принять и оплатить их. Перечень, объём и этапы услуг — в приложении № 1, которое является неотъемлемой частью договора.</w:t>
      </w:r>
    </w:p>
    <w:p>
      <w:pPr>
        <w:pStyle w:val="BodyText"/>
      </w:pPr>
      <w:r>
        <w:t xml:space="preserve">2. Сроки. Услуги оказываются с 1 декабря 2026 года по 28 февраля 2027 года. Промежуточные этапы и даты отчётов — в приложении № 1.</w:t>
      </w:r>
    </w:p>
    <w:p>
      <w:pPr>
        <w:pStyle w:val="BodyText"/>
      </w:pPr>
      <w:r>
        <w:t xml:space="preserve">3. Порядок сдачи и приёмки. По окончании каждого этапа исполнитель направляет заказчику акт и отчёт. Заказчик в течение 5 рабочих дней подписывает акт или направляет мотивированный отказ с перечнем замечаний. Услуги считаются оказанными, если в этот срок замечания не поступили.</w:t>
      </w:r>
    </w:p>
    <w:p>
      <w:pPr>
        <w:pStyle w:val="BodyText"/>
      </w:pPr>
      <w:r>
        <w:t xml:space="preserve">4. Цена и оплата. Стоимость услуг — ______ рублей. НДС не предъявляется в связи с освобождением Исполнителя от исполнения обязанностей плательщика НДС по статье 145 НК РФ. Оплата — на расчётный счёт исполнителя в течение 10 рабочих дней с даты подписания акта этапа.</w:t>
      </w:r>
    </w:p>
    <w:p>
      <w:pPr>
        <w:pStyle w:val="BodyText"/>
      </w:pPr>
      <w:r>
        <w:t xml:space="preserve">5. Ответственность. За просрочку оплаты заказчик платит пени в размере 0,1 % от суммы долга за каждый день просрочки, но не больше 10 % стоимости этапа.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передаются в Арбитражный суд города Москвы.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2026-11-04T20:31:45Z</dcterms:created>
  <dcterms:modified xsi:type="dcterms:W3CDTF">2026-11-04T20:31:45Z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