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клининговых услуг</w:t>
      </w:r>
    </w:p>
    <w:p>
      <w:pPr>
        <w:pStyle w:val="FirstParagraph"/>
      </w:pPr>
      <w:r>
        <w:t xml:space="preserve">ООО «Чистый офис»</w:t>
      </w:r>
    </w:p>
    <w:p>
      <w:pPr>
        <w:pStyle w:val="BodyText"/>
      </w:pPr>
      <w:r>
        <w:t xml:space="preserve">в лице генерального директора С. А. Кузнецова,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на-оказание-клининговых-услуг"/>
    <w:p>
      <w:pPr>
        <w:pStyle w:val="Heading1"/>
      </w:pPr>
      <w:r>
        <w:t xml:space="preserve">Договор на оказание клининговых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7/К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услуги по профессиональной уборке нежилого помещения по адресу: г. Москва, ул. Лесная, д. 12, офис 305, а Заказчик обязуется принимать и оплачивать услуги.</w:t>
      </w:r>
    </w:p>
    <w:p>
      <w:pPr>
        <w:pStyle w:val="BodyText"/>
      </w:pPr>
      <w:r>
        <w:t xml:space="preserve">1.1. Перечень услуг и периодичность: влажная уборка кабинетов и коридора — 3 раза в неделю; мытьё полов и вынос мусора — ежедневно по рабочим дням; мытьё окон — 1 раз в квартал. Полный перечень приведён в приложении № 1.</w:t>
      </w:r>
    </w:p>
    <w:p>
      <w:pPr>
        <w:pStyle w:val="BodyText"/>
      </w:pPr>
      <w:r>
        <w:t xml:space="preserve">1.2. Моющие средства, инвентарь и расходные материалы приобретает Исполнитель, их стоимость входит в цену услуг.</w:t>
      </w:r>
    </w:p>
    <w:p>
      <w:pPr>
        <w:pStyle w:val="BodyText"/>
      </w:pPr>
      <w:r>
        <w:t xml:space="preserve">2. Цена и порядок расчётов. Цена услуг за месяц — 60 000 (шестьдесят тысяч) рублей, НДС не облагается. Заказчик платит до 10-го числа месяца, следующего за расчётным, на основании акта.</w:t>
      </w:r>
    </w:p>
    <w:p>
      <w:pPr>
        <w:pStyle w:val="BodyText"/>
      </w:pPr>
      <w:r>
        <w:t xml:space="preserve">3. Порядок сдачи-приёмки. Исполнитель до 5-го числа месяца, следующего за расчётным, передаёт Заказчику акт. Заказчик подписывает акт в течение 3 рабочих дней или направляет мотивированный отказ с перечнем недостатков.</w:t>
      </w:r>
    </w:p>
    <w:p>
      <w:pPr>
        <w:pStyle w:val="BodyText"/>
      </w:pPr>
      <w:r>
        <w:t xml:space="preserve">4. Ответственность. За просрочку оплаты Заказчик платит пени 0,1 % от суммы долга за каждый день просрочки. Исполнитель отвечает за повреждение имущества Заказчика по вине своих работников.</w:t>
      </w:r>
    </w:p>
    <w:p>
      <w:pPr>
        <w:pStyle w:val="BodyText"/>
      </w:pPr>
      <w:r>
        <w:t xml:space="preserve">5. Срок действия. Договор действует с 1 декабря 2026 года по 30 ноября 2027 года. Если за 30 дней до окончания ни одна сторона не заявит о расторжении, договор продлевается на тот же срок.</w:t>
      </w:r>
    </w:p>
    <w:p>
      <w:pPr>
        <w:pStyle w:val="BodyText"/>
      </w:pPr>
      <w:r>
        <w:t xml:space="preserve">Приложение № 1 — перечень услуг и периодичность уборки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клининговых услуг</dc:title>
  <dc:creator/>
  <dc:language>ru</dc:language>
  <cp:keywords/>
  <dcterms:created xsi:type="dcterms:W3CDTF">2026-10-30T21:47:19Z</dcterms:created>
  <dcterms:modified xsi:type="dcterms:W3CDTF">2026-10-30T21:47:19Z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