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ОГРНИП 320770000000001, ИНН 770000000001</w:t>
      </w:r>
    </w:p>
    <w:p>
      <w:pPr>
        <w:pStyle w:val="BodyText"/>
      </w:pPr>
      <w:r>
        <w:t xml:space="preserve">действующий на основании записи в Едином государственном реестре индивидуальных предпринимателей, именуемый в дальнейшем «Заказчик», с одной стороны, и</w:t>
      </w:r>
    </w:p>
    <w:p>
      <w:pPr>
        <w:pStyle w:val="BodyText"/>
      </w:pPr>
      <w:r>
        <w:t xml:space="preserve">Индивидуальный предприниматель Петров Пётр Петрович, ОГРНИП 320770000000002, ИНН 770000000002, именуемый в дальнейшем «Исполнитель»,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между-индивидуальными-предпринимателями"/>
    <w:p>
      <w:pPr>
        <w:pStyle w:val="Heading2"/>
      </w:pPr>
      <w:r>
        <w:t xml:space="preserve">между индивидуальными предпринимателями</w:t>
      </w:r>
    </w:p>
    <w:p>
      <w:pPr>
        <w:pStyle w:val="FirstParagraph"/>
      </w:pPr>
      <w:r>
        <w:t xml:space="preserve">12 ноября 2026 г. № 7</w:t>
      </w:r>
    </w:p>
    <w:p>
      <w:pPr>
        <w:pStyle w:val="BodyText"/>
      </w:pPr>
      <w:r>
        <w:t xml:space="preserve">1. Предмет договора. Исполнитель обязуется оказать услуги по разработке и настройке рекламных кампаний в соответствии с заданием (приложение № 1), а Заказчик — принять и оплатить их.</w:t>
      </w:r>
    </w:p>
    <w:p>
      <w:pPr>
        <w:pStyle w:val="BodyText"/>
      </w:pPr>
      <w:r>
        <w:t xml:space="preserve">2. Сроки. Услуги оказываются с 12 ноября по 20 декабря 2026 года. Промежуточные результаты передаются еженедельно по пятницам.</w:t>
      </w:r>
    </w:p>
    <w:p>
      <w:pPr>
        <w:pStyle w:val="BodyText"/>
      </w:pPr>
      <w:r>
        <w:t xml:space="preserve">3. Цена и оплата. Стоимость услуг — 180 000 рублей, НДС не облагается в связи с освобождением по п. 1 ст. 145 НК РФ (применяется УСН); при утрате основания НДС предъявляется по ставкам 22/10/0 % или 5/7 % (ст. 164 НК РФ). Оплата: 50 % авансом в течение 5 рабочих дней с даты подписания, остаток — в течение 5 рабочих дней после подписания акта.</w:t>
      </w:r>
    </w:p>
    <w:p>
      <w:pPr>
        <w:pStyle w:val="BodyText"/>
      </w:pPr>
      <w:r>
        <w:t xml:space="preserve">4. Приёмка. Заказчик подписывает акт или направляет мотивированный отказ в течение 5 рабочих дней с даты получения акта. Без ответа в этот срок услуги считаются принятыми.</w:t>
      </w:r>
    </w:p>
    <w:p>
      <w:pPr>
        <w:pStyle w:val="BodyText"/>
      </w:pPr>
      <w:r>
        <w:t xml:space="preserve">5. Ответственность. За просрочку оплаты Заказчик платит пени 0,1 % от суммы долга за каждый день просрочки. За просрочку оказания услуг Исполнитель платит пени 0,1 % от стоимости услуг за каждый день.</w:t>
      </w:r>
    </w:p>
    <w:p>
      <w:pPr>
        <w:pStyle w:val="BodyText"/>
      </w:pPr>
      <w:r>
        <w:t xml:space="preserve">6. Споры. Стороны принимают меры к урегулированию разногласий путём переговоров. Претензия рассматривается в течение 10 рабочих дней с даты получения. При недостижении согласия спор передаётся в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2026-10-28T22:22:35Z</dcterms:created>
  <dcterms:modified xsi:type="dcterms:W3CDTF">2026-10-28T22:22:35Z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