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земельного участка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купли-продажи-земельного-участка"/>
    <w:p>
      <w:pPr>
        <w:pStyle w:val="Heading1"/>
      </w:pPr>
      <w:r>
        <w:t xml:space="preserve">Договор купли-продажи земельного участка</w:t>
      </w:r>
    </w:p>
    <w:bookmarkStart w:id="9" w:name="X0bcb2c24a1f2ef2932122b3ef7bd498ec5c16f9"/>
    <w:p>
      <w:pPr>
        <w:pStyle w:val="Heading2"/>
      </w:pPr>
      <w:r>
        <w:t xml:space="preserve">продавец — гражданин, покупатель — юридическое лицо</w:t>
      </w:r>
    </w:p>
    <w:p>
      <w:pPr>
        <w:pStyle w:val="FirstParagraph"/>
      </w:pPr>
      <w:r>
        <w:t xml:space="preserve">Гражданин Иванов Иван Иванович, 12 марта 1978 года рождения, место рождения: г. Тула, паспорт серии 7000 № 123456, выдан ОВД Тульской области 05.06.2001, зарегистрированный по адресу: г. Тула, ул. Ленина, д. 10, кв. 5, именуемый в дальнейшем «Продавец», и общество с ограниченной ответственностью «Стройресурс», ИНН 7701234567, ОГРН 1157746123456, в лице генерального директора Петрова Петра Петровича, действующего на основании устава, именуемое в дальнейшем «Покупатель», вместе именуемые «Стороны»,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Продавец передаёт в собственность Покупателя, а Покупатель принимает и оплачивает земельный участок площадью 1 200 кв. м, кадастровый номер 71:14:030201:45, категория земель: земли населённых пунктов, вид разрешённого использования: для строительства производственного здания, расположенный по адресу: Тульская область, г. Тула, ул. Промышленная, земельный участок 7.</w:t>
      </w:r>
    </w:p>
    <w:p>
      <w:pPr>
        <w:pStyle w:val="BodyText"/>
      </w:pPr>
      <w:r>
        <w:t xml:space="preserve">1.2. Участок принадлежит Продавцу на праве собственности, запись в Едином государственном реестре недвижимости от 14.08.2019 № 71:14:030201:45-71/014/2019-3. Участок не заложен, под арестом и запретом не состоит, в аренду и безвозмездное пользование не передан, споров по его границам нет.</w:t>
      </w:r>
    </w:p>
    <w:p>
      <w:pPr>
        <w:pStyle w:val="BodyText"/>
      </w:pPr>
      <w:r>
        <w:t xml:space="preserve">1.3. Стороны подтверждают, что границы участка установлены в соответствии с требованиями земельного законодательства, сведения о них внесены в Единый государственный реестр недвижимости.</w:t>
      </w:r>
    </w:p>
    <w:p>
      <w:pPr>
        <w:pStyle w:val="BodyText"/>
      </w:pPr>
      <w:r>
        <w:t xml:space="preserve">2. Цена и порядок расчётов. 2.1. Цена участка — 2 400 000 (два миллиона четыреста тысяч) рублей. НДС не облагается на основании подпункта 6 пункта 2 статьи 146 Налогового кодекса Российской Федерации.</w:t>
      </w:r>
    </w:p>
    <w:p>
      <w:pPr>
        <w:pStyle w:val="BodyText"/>
      </w:pPr>
      <w:r>
        <w:t xml:space="preserve">2.2. Покупатель перечисляет цену на счёт Продавца в течение пяти рабочих дней с даты регистрации перехода права собственности в Едином государственном реестре недвижимости.</w:t>
      </w:r>
    </w:p>
    <w:p>
      <w:pPr>
        <w:pStyle w:val="BodyText"/>
      </w:pPr>
      <w:r>
        <w:t xml:space="preserve">3. Передача участка. 3.1. Участок передаётся по передаточному акту в течение трёх рабочих дней после подписания договора.</w:t>
      </w:r>
    </w:p>
    <w:p>
      <w:pPr>
        <w:pStyle w:val="BodyText"/>
      </w:pPr>
      <w:r>
        <w:t xml:space="preserve">3.2. Стороны подтверждают, что состояние участка соответствует условиям договора, претензий к качеству земли и расположенным на ней объектам у Покупателя нет.</w:t>
      </w:r>
    </w:p>
    <w:p>
      <w:pPr>
        <w:pStyle w:val="BodyText"/>
      </w:pPr>
      <w:r>
        <w:t xml:space="preserve">4. Переход права. 4.1. Право собственности на участок переходит к Покупателю с даты государственной регистрации в Едином государственном реестре недвижимости. Документы на регистрацию подаёт Покупатель.</w:t>
      </w:r>
    </w:p>
    <w:p>
      <w:pPr>
        <w:pStyle w:val="BodyText"/>
      </w:pPr>
      <w:r>
        <w:t xml:space="preserve">5. Заключительные положения. 5.1. Договор вступает в силу с момента подписания и действует до полного исполнения Сторонами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«Стройресурс»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земельного участка</dc:title>
  <dc:creator/>
  <dc:language>ru</dc:language>
  <cp:keywords/>
  <dcterms:created xsi:type="dcterms:W3CDTF">2026-11-07T20:34:42Z</dcterms:created>
  <dcterms:modified xsi:type="dcterms:W3CDTF">2026-11-07T20:34:42Z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