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товара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«Ромашка», именуемое в дальнейшем «Продавец», в лице генерального директора П. П. Петрова, действующего на основании устава, с одной стороны</w:t>
      </w:r>
    </w:p>
    <w:p>
      <w:pPr>
        <w:pStyle w:val="BodyText"/>
      </w:pPr>
      <w:r>
        <w:t xml:space="preserve">и ООО «Василёк», именуемое в дальнейшем «Покупатель», в лице директора И. И. Иванова, действующего на основании устава, с другой стороны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упли-продажи-товара"/>
    <w:p>
      <w:pPr>
        <w:pStyle w:val="Heading1"/>
      </w:pPr>
      <w:r>
        <w:t xml:space="preserve">Договор купли-продажи товара</w:t>
      </w:r>
    </w:p>
    <w:bookmarkStart w:id="9" w:name="section"/>
    <w:p>
      <w:pPr>
        <w:pStyle w:val="Heading2"/>
      </w:pPr>
      <w:r>
        <w:t xml:space="preserve">№ 17/2026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Предмет договора. 1.1. Продавец обязуется передать в собственность Покупателя товар по наименованию, количеству и ассортименту, указанным в спецификации (приложение № 1), а Покупатель обязуется принять товар и уплатить за него цену, установленную договором.</w:t>
      </w:r>
    </w:p>
    <w:p>
      <w:pPr>
        <w:pStyle w:val="BodyText"/>
      </w:pPr>
      <w:r>
        <w:t xml:space="preserve">1.2. На момент передачи товар принадлежит Продавцу на праве собственности, не заложен, не арестован и не является предметом исков третьих лиц.</w:t>
      </w:r>
    </w:p>
    <w:p>
      <w:pPr>
        <w:pStyle w:val="BodyText"/>
      </w:pPr>
      <w:r>
        <w:t xml:space="preserve">2. Цена и порядок расчётов. 2.1. Цена товара — 1 240 000 рублей, НДС 22 % — 223 606,56 рубля. Цена включает стоимость упаковки и доставки до склада Покупателя.</w:t>
      </w:r>
    </w:p>
    <w:p>
      <w:pPr>
        <w:pStyle w:val="BodyText"/>
      </w:pPr>
      <w:r>
        <w:t xml:space="preserve">2.2. Покупатель оплачивает товар в течение 10 рабочих дней со дня получения счёта.</w:t>
      </w:r>
    </w:p>
    <w:p>
      <w:pPr>
        <w:pStyle w:val="BodyText"/>
      </w:pPr>
      <w:r>
        <w:t xml:space="preserve">3. Передача товара. 3.1. Продавец передаёт товар на складе Покупателя не позднее 15 декабря 2026 года.</w:t>
      </w:r>
    </w:p>
    <w:p>
      <w:pPr>
        <w:pStyle w:val="BodyText"/>
      </w:pPr>
      <w:r>
        <w:t xml:space="preserve">3.2. При передаче Продавец передаёт Покупателю счёт-фактуру, универсальный передаточный документ и документы о качестве товара.</w:t>
      </w:r>
    </w:p>
    <w:p>
      <w:pPr>
        <w:pStyle w:val="BodyText"/>
      </w:pPr>
      <w:r>
        <w:t xml:space="preserve">4. Приёмка товара. 4.1. Покупатель проверяет товар по количеству и ассортименту при передаче, по качеству — в течение 5 рабочих дней.</w:t>
      </w:r>
    </w:p>
    <w:p>
      <w:pPr>
        <w:pStyle w:val="BodyText"/>
      </w:pPr>
      <w:r>
        <w:t xml:space="preserve">5. Ответственность. 5.1. За просрочку оплаты Покупатель платит пени 0,1 % от суммы долга за каждый день просрочки.</w:t>
      </w:r>
    </w:p>
    <w:p>
      <w:pPr>
        <w:pStyle w:val="BodyText"/>
      </w:pPr>
      <w:r>
        <w:t xml:space="preserve">6. Споры. 6.1. Стороны принимают меры к урегулированию спора переговорами; претензию рассматривают в течение 10 рабочих дней.</w:t>
      </w:r>
    </w:p>
    <w:p>
      <w:pPr>
        <w:pStyle w:val="BodyText"/>
      </w:pPr>
      <w:r>
        <w:t xml:space="preserve">7. Реквизиты и подписи сторон. Приложение № 1 — спецификация товара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</dc:title>
  <dc:creator/>
  <dc:language>ru</dc:language>
  <cp:keywords/>
  <dcterms:created xsi:type="dcterms:W3CDTF">2026-11-01T20:31:49Z</dcterms:created>
  <dcterms:modified xsi:type="dcterms:W3CDTF">2026-11-01T20:31:49Z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