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товара</w:t>
      </w:r>
    </w:p>
    <w:p>
      <w:pPr>
        <w:pStyle w:val="FirstParagraph"/>
      </w:pPr>
      <w:r>
        <w:t xml:space="preserve">Индивидуальный предприниматель Соколов Артём Викторович, ОГРНИП 324500000123456, ИНН 500123456789, адрес: 141000, Московская область, г. Мытищи, ул. Лесная, д. 4, кв. 12, именуемый в дальнейшем «Продавец»,</w:t>
      </w:r>
    </w:p>
    <w:p>
      <w:pPr>
        <w:pStyle w:val="BodyText"/>
      </w:pPr>
      <w:r>
        <w:t xml:space="preserve">и индивидуальный предприниматель Гусева Марина Олеговна, ОГРНИП 325500000654321, ИНН 500987654321, адрес: 141000, Московская область, г. Мытищи, ул. Мира, д. 18, кв. 5, именуемая в дальнейшем «Покупатель»,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купли-продажи-товара"/>
    <w:p>
      <w:pPr>
        <w:pStyle w:val="Heading1"/>
      </w:pPr>
      <w:r>
        <w:t xml:space="preserve">Договор купли-продажи товара</w:t>
      </w:r>
    </w:p>
    <w:bookmarkStart w:id="9" w:name="Xfe1db118cfa3a4d9b5b377c57014037a22dd046"/>
    <w:p>
      <w:pPr>
        <w:pStyle w:val="Heading2"/>
      </w:pPr>
      <w:r>
        <w:t xml:space="preserve">№ 7-КП между индивидуальными предпринимателями</w:t>
      </w:r>
    </w:p>
    <w:p>
      <w:pPr>
        <w:pStyle w:val="FirstParagraph"/>
      </w:pPr>
      <w:r>
        <w:t xml:space="preserve">30 октября 2026 г. № 7-КП</w:t>
      </w:r>
    </w:p>
    <w:p>
      <w:pPr>
        <w:pStyle w:val="BodyText"/>
      </w:pPr>
      <w:r>
        <w:t xml:space="preserve">1. Товар. Продавец передаёт Покупателю плитку керамогранитную 600 × 600 мм, матовую, серую, в количестве 420 м², ассортимент и характеристики — по спецификации (приложение № 1). Товар новый, не бывший в употреблении, производитель — фабрика «Керамоград», партия 2026-09.</w:t>
      </w:r>
    </w:p>
    <w:p>
      <w:pPr>
        <w:pStyle w:val="BodyText"/>
      </w:pPr>
      <w:r>
        <w:t xml:space="preserve">2. Цена и оплата. Цена товара — 1 260 000 рублей, в том числе НДС не облагается: Продавец применяет упрощённую систему налогообложения. Оплата — в два этапа: 50 % предоплаты в течение 5 рабочих дней с даты подписания, остаток — в течение 5 рабочих дней с даты поставки.</w:t>
      </w:r>
    </w:p>
    <w:p>
      <w:pPr>
        <w:pStyle w:val="BodyText"/>
      </w:pPr>
      <w:r>
        <w:t xml:space="preserve">3. Поставка и приёмка. Поставка на склад Покупателя в г. Мытищи в течение 14 календарных дней с даты предоплаты, доставка за счёт Продавца. При приёмке Покупатель проверяет количество, целостность упаковки и соответствие спецификации; о расхождениях пишет в акте приёмки в день поставки.</w:t>
      </w:r>
    </w:p>
    <w:p>
      <w:pPr>
        <w:pStyle w:val="BodyText"/>
      </w:pPr>
      <w:r>
        <w:t xml:space="preserve">4. Ответственность. За просрочку поставки Продавец платит пени 0,1 % от стоимости непоставленного товара за каждый день, но не больше 10 % от цены договора. За просрочку оплаты Покупатель платит такие же пени.</w:t>
      </w:r>
    </w:p>
    <w:p>
      <w:pPr>
        <w:pStyle w:val="BodyText"/>
      </w:pPr>
      <w:r>
        <w:t xml:space="preserve">5. Споры. Переговоры, затем претензионный порядок со сроком ответа 10 рабочих дней, затем арбитражный суд по месту нахождения ответчика.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А. В. Соколов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М. О. Гусева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</dc:title>
  <dc:creator/>
  <dc:language>ru</dc:language>
  <cp:keywords/>
  <dcterms:created xsi:type="dcterms:W3CDTF">2026-10-31T20:31:46Z</dcterms:created>
  <dcterms:modified xsi:type="dcterms:W3CDTF">2026-10-31T20:31:46Z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