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павильона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купли-продажи-павильона"/>
    <w:p>
      <w:pPr>
        <w:pStyle w:val="Heading1"/>
      </w:pPr>
      <w:r>
        <w:t xml:space="preserve">Договор купли-продажи павильона</w:t>
      </w:r>
    </w:p>
    <w:bookmarkStart w:id="9" w:name="торгового-объекта"/>
    <w:p>
      <w:pPr>
        <w:pStyle w:val="Heading2"/>
      </w:pPr>
      <w:r>
        <w:t xml:space="preserve">(торгового объекта)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Принадлежность и обременения: 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расчёта: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Передача объекта: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Прочие условия: 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павильона</dc:title>
  <dc:creator/>
  <dc:language>ru</dc:language>
  <cp:keywords/>
  <dcterms:created xsi:type="dcterms:W3CDTF">2026-11-02T20:31:31Z</dcterms:created>
  <dcterms:modified xsi:type="dcterms:W3CDTF">2026-11-02T20:31:31Z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