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оборудования</w:t>
      </w:r>
    </w:p>
    <w:p>
      <w:pPr>
        <w:pStyle w:val="FirstParagraph"/>
      </w:pPr>
      <w:r>
        <w:t xml:space="preserve">ООО «Станкоторг»</w:t>
      </w:r>
    </w:p>
    <w:p>
      <w:pPr>
        <w:pStyle w:val="BodyText"/>
      </w:pPr>
      <w:r>
        <w:t xml:space="preserve">в лице генерального директора А. В. Смирнова, действующего на основании устава,</w:t>
      </w:r>
    </w:p>
    <w:p>
      <w:pPr>
        <w:pStyle w:val="BodyText"/>
      </w:pPr>
      <w:r>
        <w:t xml:space="preserve">и ООО «Мебельный цех»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договор-купли-продажи-оборудования"/>
    <w:p>
      <w:pPr>
        <w:pStyle w:val="Heading1"/>
      </w:pPr>
      <w:r>
        <w:t xml:space="preserve">Договор купли-продажи оборудования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1. Предмет договора. Продавец передаёт в собственность Покупателю деревообрабатывающий станок по спецификации (приложение № 1), а Покупатель принимает и оплачивает его. Оборудование принадлежит Продавцу на праве собственности, в залоге и под арестом не состоит.</w:t>
      </w:r>
    </w:p>
    <w:p>
      <w:pPr>
        <w:pStyle w:val="BodyText"/>
      </w:pPr>
      <w:r>
        <w:t xml:space="preserve">2. Цена и оплата. Цена оборудования — по спецификации; в неё входят доставка до склада Покупателя и пусконаладка. Покупатель платит 30 % авансом в течение 5 рабочих дней с даты подписания, остаток — в течение 10 рабочих дней после подписания акта приёмки.</w:t>
      </w:r>
    </w:p>
    <w:p>
      <w:pPr>
        <w:pStyle w:val="BodyText"/>
      </w:pPr>
      <w:r>
        <w:t xml:space="preserve">3. Передача и приёмка. Продавец доставляет оборудование на склад Покупателя в течение 30 календарных дней с даты аванса. Покупатель принимает его по акту, проверяет комплектность и работоспособность под нагрузкой. Недостатки фиксируются в акте или в отдельной претензии.</w:t>
      </w:r>
    </w:p>
    <w:p>
      <w:pPr>
        <w:pStyle w:val="BodyText"/>
      </w:pPr>
      <w:r>
        <w:t xml:space="preserve">4. Право собственности и риск. Право собственности переходит к Покупателю с момента подписания акта приёмки. Риск случайной гибели — с момента передачи оборудования перевозчику.</w:t>
      </w:r>
    </w:p>
    <w:p>
      <w:pPr>
        <w:pStyle w:val="BodyText"/>
      </w:pPr>
      <w:r>
        <w:t xml:space="preserve">5. Гарантия. Продавец гарантирует исправную работу оборудования 12 месяцев с даты акта приёмки при соблюдении инструкции по эксплуатации. Гарантия не покрывает износ расходников и повреждения по вине Покупателя.</w:t>
      </w:r>
    </w:p>
    <w:p>
      <w:pPr>
        <w:pStyle w:val="BodyText"/>
      </w:pPr>
      <w:r>
        <w:t xml:space="preserve">6. Ответственность. За просрочку поставки Продавец платит пени 0,1 % от цены непоставленного оборудования за каждый день, но не больше 10 % его цены. За просрочку оплаты Покупатель платит такую же пеню.</w:t>
      </w:r>
    </w:p>
    <w:p>
      <w:pPr>
        <w:pStyle w:val="BodyText"/>
      </w:pPr>
      <w:r>
        <w:t xml:space="preserve">7. Прочее. Споры стороны решают переговорами, при неудаче — в арбитражном суде по месту нахождения ответчика. Договор составлен в двух экземплярах. Приложение № 1 — спецификация.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«Станкоторг»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«Мебельный цех»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creator/>
  <dc:language>ru</dc:language>
  <cp:keywords/>
  <dcterms:created xsi:type="dcterms:W3CDTF">2026-10-28T22:22:31Z</dcterms:created>
  <dcterms:modified xsi:type="dcterms:W3CDTF">2026-10-28T22:22:31Z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