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нежилого здания</w:t>
      </w:r>
    </w:p>
    <w:p>
      <w:pPr>
        <w:pStyle w:val="FirstParagraph"/>
      </w:pPr>
      <w:r>
        <w:t xml:space="preserve">ООО «Ромашка», именуемое в дальнейшем «Продавец»,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«Покупатель», в лице генерального директора И. И. Иванова, действующего на основании устава,</w:t>
      </w:r>
    </w:p>
    <w:bookmarkStart w:id="10" w:name="договор-купли-продажи-нежилого-здания"/>
    <w:p>
      <w:pPr>
        <w:pStyle w:val="Heading1"/>
      </w:pPr>
      <w:r>
        <w:t xml:space="preserve">Договор купли-продажи нежилого здания</w:t>
      </w:r>
    </w:p>
    <w:bookmarkStart w:id="9" w:name="с-земельным-участком-под-ним"/>
    <w:p>
      <w:pPr>
        <w:pStyle w:val="Heading2"/>
      </w:pPr>
      <w:r>
        <w:t xml:space="preserve">с земельным участком под ним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Продавец обязуется передать в собственность Покупателя нежилое здание с кадастровым номером 77:01:0000000:1234, назначение — нежилое, площадью 1 250 кв. м, этажей — 2, год постройки 2008, по адресу: г. Москва, ул. Промышленная, д. 5, стр. 1, и земельный участок под ним с кадастровым номером 77:01:0000000:567, площадью 1 800 кв. м, категория земель — земли населённых пунктов, вид разрешённого использования — для размещения производственных зданий.</w:t>
      </w:r>
    </w:p>
    <w:p>
      <w:pPr>
        <w:pStyle w:val="BodyText"/>
      </w:pPr>
      <w:r>
        <w:t xml:space="preserve">2. Здание и земельный участок принадлежат Продавцу на праве собственности, что подтверждается записями в Едином государственном реестре недвижимости. На момент подписания договора здание не заложено, под арестом не состоит, в споре не находится и не сдано в аренду третьим лицам.</w:t>
      </w:r>
    </w:p>
    <w:p>
      <w:pPr>
        <w:pStyle w:val="BodyText"/>
      </w:pPr>
      <w:r>
        <w:t xml:space="preserve">3. Цена здания — 48 000 000 рублей, цена земельного участка — 12 000 000 рублей. Общая цена договора — 60 000 000 рублей, в том числе НДС 22 % с цены здания — 8 655 737,70 рубля; продажа земельного участка НДС не облагается (пп. 6 п. 2 ст. 146 Налогового кодекса РФ).</w:t>
      </w:r>
    </w:p>
    <w:p>
      <w:pPr>
        <w:pStyle w:val="BodyText"/>
      </w:pPr>
      <w:r>
        <w:t xml:space="preserve">4. Покупатель перечисляет цену в следующем порядке: 20 000 000 рублей — в течение 5 рабочих дней после подписания договора, 40 000 000 рублей — в течение 10 рабочих дней после государственной регистрации перехода права собственности.</w:t>
      </w:r>
    </w:p>
    <w:p>
      <w:pPr>
        <w:pStyle w:val="BodyText"/>
      </w:pPr>
      <w:r>
        <w:t xml:space="preserve">5. Здание и земельный участок передаются Покупателю по передаточному акту в течение 5 рабочих дней после подписания договора. Обязательство Продавца передать имущество считается исполненным с момента подписания передаточного акта.</w:t>
      </w:r>
    </w:p>
    <w:p>
      <w:pPr>
        <w:pStyle w:val="BodyText"/>
      </w:pPr>
      <w:r>
        <w:t xml:space="preserve">6. Переход права собственности на здание и земельный участок подлежит государственной регистрации в Едином государственном реестре недвижимости. Расходы на регистрацию несёт Покупатель. Договор считается заключённым с момента подписания сторонами.</w:t>
      </w:r>
    </w:p>
    <w:p>
      <w:pPr>
        <w:pStyle w:val="BodyText"/>
      </w:pPr>
      <w:r>
        <w:t xml:space="preserve">7. Стороны подтверждают, что до подписания договора Продавец передал Покупателю документы: выписки из ЕГРН на здание и участок, технический план здания, правоустанавливающие документы, справку об отсутствии задолженности по налогам и арендной плате за землю.</w:t>
      </w:r>
    </w:p>
    <w:p>
      <w:pPr>
        <w:pStyle w:val="BodyText"/>
      </w:pPr>
      <w:r>
        <w:t xml:space="preserve">8. Адреса и реквизиты сторон: Продавец — ООО «Ромашка», ИНН 7700000000, КПП 770001001, р/с 40702810000000000001 в банке «Пример», БИК 044525000; Покупатель — ООО «Василёк», ИНН 7800000000, КПП 780001001, р/с 40702810000000000002 в банке «Пример», БИК 044525000.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нежилого здания</dc:title>
  <dc:creator/>
  <dc:language>ru</dc:language>
  <cp:keywords/>
  <dcterms:created xsi:type="dcterms:W3CDTF">2026-10-28T22:22:29Z</dcterms:created>
  <dcterms:modified xsi:type="dcterms:W3CDTF">2026-10-28T22:22:29Z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