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9" w:name="договор-купли-продажи-нежилого-помещения"/>
    <w:p>
      <w:pPr>
        <w:pStyle w:val="Heading1"/>
      </w:pPr>
      <w:r>
        <w:t xml:space="preserve">Договор купли-продажи нежилого помещения</w:t>
      </w:r>
    </w:p>
    <w:p>
      <w:pPr>
        <w:pStyle w:val="FirstParagraph"/>
      </w:pPr>
      <w:r>
        <w:t xml:space="preserve">Индивидуальный предприниматель Иванов Иван Иванович, ОГРНИП 300000000000001, именуемый в дальнейшем «Продавец», с одной стороны, и Общество с ограниченной ответственностью «Ромашка», ОГРН 1000000000001, в лице генерального директора Петрова Петра Петровича, действующего на основании устава, именуемое в дальнейшем «Покупатель»,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1.1. Продавец продаёт, а Покупатель принимает и оплачивает нежилое помещение с кадастровым номером 77:01:0000000:1234, общей площадью 120,5 кв. м, расположенное на первом этаже пятиэтажного здания по адресу: г. Москва, ул. Примерная, д. 1, пом. 2. Помещение принадлежит Продавцу на праве собственности, запись в Едином государственном реестре недвижимости от 12 марта 2019 г. № 77:01:0000000:1234-77/001/2019-1.</w:t>
      </w:r>
    </w:p>
    <w:p>
      <w:pPr>
        <w:pStyle w:val="BodyText"/>
      </w:pPr>
      <w:r>
        <w:t xml:space="preserve">1.2. Помещение продаётся вместе с долей в праве общей собственности на общее имущество здания, пропорциональной площади помещения.</w:t>
      </w:r>
    </w:p>
    <w:p>
      <w:pPr>
        <w:pStyle w:val="BodyText"/>
      </w:pPr>
      <w:r>
        <w:t xml:space="preserve">2.1. Цена помещения — 12 000 000 рублей. НДС не облагается: Продавец применяет упрощённую систему налогообложения и освобождён от исполнения обязанностей плательщика НДС по статье 145 Налогового кодекса РФ.</w:t>
      </w:r>
    </w:p>
    <w:p>
      <w:pPr>
        <w:pStyle w:val="BodyText"/>
      </w:pPr>
      <w:r>
        <w:t xml:space="preserve">2.2. Покупатель перечисляет цену в срок до 10 ноября 2026 г. на счёт Продавца № ______ в банке ______. Днём оплаты считается день поступления денег на счёт Продавца.</w:t>
      </w:r>
    </w:p>
    <w:p>
      <w:pPr>
        <w:pStyle w:val="BodyText"/>
      </w:pPr>
      <w:r>
        <w:t xml:space="preserve">3.1. Продавец передаёт помещение Покупателю по акту в течение пяти рабочих дней после подписания договора.</w:t>
      </w:r>
    </w:p>
    <w:p>
      <w:pPr>
        <w:pStyle w:val="BodyText"/>
      </w:pPr>
      <w:r>
        <w:t xml:space="preserve">3.2. С момента передачи помещения Покупатель несёт риск случайной гибели помещения и платит за содержание, коммунальные услуги и взносы на капитальный ремонт.</w:t>
      </w:r>
    </w:p>
    <w:p>
      <w:pPr>
        <w:pStyle w:val="BodyText"/>
      </w:pPr>
      <w:r>
        <w:t xml:space="preserve">4.1. Продавец ручается, что помещение не продано другим лицам, не заложено, под арестом не состоит, в споре и под запретом не находится.</w:t>
      </w:r>
    </w:p>
    <w:p>
      <w:pPr>
        <w:pStyle w:val="BodyText"/>
      </w:pPr>
      <w:r>
        <w:t xml:space="preserve">5.1. Переход права собственности регистрируется в Росреестре. Документы подаёт Покупатель; расходы на регистрацию и оплату государственной пошлины несёт Покупатель.</w:t>
      </w:r>
    </w:p>
    <w:p>
      <w:pPr>
        <w:pStyle w:val="BodyText"/>
      </w:pPr>
      <w:r>
        <w:t xml:space="preserve">6.1. Договор вступает в силу с момента подписания и действует до полного исполнения Сторонами обязательств.</w:t>
      </w:r>
    </w:p>
    <w:p>
      <w:pPr>
        <w:pStyle w:val="BodyText"/>
      </w:pPr>
      <w:r>
        <w:t xml:space="preserve">Приложение: выписка из Единого государственного реестра недвижимости на помещение; технический план; согласие супруга Продавца на продажу —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помещения</dc:title>
  <dc:creator/>
  <dc:language>ru</dc:language>
  <cp:keywords/>
  <dcterms:created xsi:type="dcterms:W3CDTF">2026-10-30T21:47:13Z</dcterms:created>
  <dcterms:modified xsi:type="dcterms:W3CDTF">2026-10-30T21:47:13Z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