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предприятия</w:t>
      </w:r>
    </w:p>
    <w:p>
      <w:pPr>
        <w:pStyle w:val="FirstParagraph"/>
      </w:pPr>
      <w:r>
        <w:t xml:space="preserve">Индивидуальный предприниматель Смирнов Алексей Петрович</w:t>
      </w:r>
    </w:p>
    <w:p>
      <w:pPr>
        <w:pStyle w:val="BodyText"/>
      </w:pPr>
      <w:r>
        <w:t xml:space="preserve">ИНН 770123456789, ОГРНИП 321770000123456</w:t>
      </w:r>
    </w:p>
    <w:p>
      <w:pPr>
        <w:pStyle w:val="BodyText"/>
      </w:pPr>
      <w:r>
        <w:t xml:space="preserve">Индивидуальный предприниматель Кузнецова Мария Ивановна</w:t>
      </w:r>
    </w:p>
    <w:p>
      <w:pPr>
        <w:pStyle w:val="BodyText"/>
      </w:pPr>
      <w:r>
        <w:t xml:space="preserve">ИНН 770987654321, ОГРНИП 322770000654321</w:t>
      </w:r>
    </w:p>
    <w:bookmarkStart w:id="10" w:name="договор-купли-продажи-предприятия"/>
    <w:p>
      <w:pPr>
        <w:pStyle w:val="Heading1"/>
      </w:pPr>
      <w:r>
        <w:t xml:space="preserve">Договор купли-продажи предприятия</w:t>
      </w:r>
    </w:p>
    <w:bookmarkStart w:id="9" w:name="бизнеса-как-имущественного-комплекса"/>
    <w:p>
      <w:pPr>
        <w:pStyle w:val="Heading2"/>
      </w:pPr>
      <w:r>
        <w:t xml:space="preserve">(бизнеса как имущественного комплекса)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Продавец обязуется передать в собственность Покупателя предприятие в целом как имущественный комплекс — кофейню по адресу: г. Москва, ул. Лесная, д. 8, помещение 4, — а Покупатель обязуется принять его и уплатить цену, указанную в разделе 2. Права и обязанности, которые Продавец не вправе передавать другим лицам, в состав предприятия не входят.</w:t>
      </w:r>
    </w:p>
    <w:p>
      <w:pPr>
        <w:pStyle w:val="BodyText"/>
      </w:pPr>
      <w:r>
        <w:t xml:space="preserve">Состав и стоимость предприятия определены на основе полной инвентаризации в приложении № 1 к договору: оборудование, мебель, товарные запасы, права на товарный знак «Утренний», права и обязанности по договорам аренды, поставки и трудовым договорам. Долги включаются в состав предприятия по перечню в приложении № 2 с указанием кредиторов, характера, размера и сроков их требований.</w:t>
      </w:r>
    </w:p>
    <w:p>
      <w:pPr>
        <w:pStyle w:val="BodyText"/>
      </w:pPr>
      <w:r>
        <w:t xml:space="preserve">Цена предприятия — 3 200 000 рублей. Покупатель платит 1 000 000 рублей в течение пяти рабочих дней с даты подписания договора и 2 200 000 рублей — в течение пяти рабочих дней с даты подписания передаточного акта.</w:t>
      </w:r>
    </w:p>
    <w:p>
      <w:pPr>
        <w:pStyle w:val="BodyText"/>
      </w:pPr>
      <w:r>
        <w:t xml:space="preserve">До подписания договора стороны составили и рассмотрели акт инвентаризации, бухгалтерский баланс, заключение независимого аудитора о составе и стоимости предприятия и перечень всех долгов. Документы — приложения № 1–3 к договору.</w:t>
      </w:r>
    </w:p>
    <w:p>
      <w:pPr>
        <w:pStyle w:val="BodyText"/>
      </w:pPr>
      <w:r>
        <w:t xml:space="preserve">Предприятие передаётся по передаточному акту в течение десяти рабочих дней с даты подписания договора. С даты подписания акта Покупатель принимает предприятие и несёт риск случайной гибели имущества. Право собственности на недвижимое имущество в составе предприятия переходит к Покупателю после государственной регистрации перехода права.</w:t>
      </w:r>
    </w:p>
    <w:p>
      <w:pPr>
        <w:pStyle w:val="BodyText"/>
      </w:pPr>
      <w:r>
        <w:t xml:space="preserve">Продавец отвечает перед Покупателем за то, что состав и стоимость предприятия соответствуют документам, указанным в разделе 4, и за недостатки переданного имущества, если Покупатель докажет, что они возникли до передачи.</w:t>
      </w:r>
    </w:p>
    <w:p>
      <w:pPr>
        <w:pStyle w:val="BodyText"/>
      </w:pPr>
      <w:r>
        <w:t xml:space="preserve">Приложение № 1 — акт инвентаризации и перечень имущества на 6 л. в 1 экз. Приложение № 2 — перечень долгов на 2 л. в 1 экз. Приложение № 3 — заключение аудитора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А. П.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М. И.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предприятия</dc:title>
  <dc:creator/>
  <dc:language>ru</dc:language>
  <cp:keywords/>
  <dcterms:created xsi:type="dcterms:W3CDTF">2026-10-30T21:47:12Z</dcterms:created>
  <dcterms:modified xsi:type="dcterms:W3CDTF">2026-10-30T21:47:12Z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