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акций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акций"/>
    <w:p>
      <w:pPr>
        <w:pStyle w:val="Heading1"/>
      </w:pPr>
      <w:r>
        <w:t xml:space="preserve">Договор купли-продажи акций</w:t>
      </w:r>
    </w:p>
    <w:bookmarkStart w:id="9" w:name="между-физическими-лицами"/>
    <w:p>
      <w:pPr>
        <w:pStyle w:val="Heading2"/>
      </w:pPr>
      <w:r>
        <w:t xml:space="preserve">между физическими лицами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Права на акции: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порядок расчётов: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Передача акций: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Срок действия и споры: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Число экземпляров: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акций</dc:title>
  <dc:creator/>
  <dc:language>ru</dc:language>
  <cp:keywords/>
  <dcterms:created xsi:type="dcterms:W3CDTF">2026-11-06T21:44:22Z</dcterms:created>
  <dcterms:modified xsi:type="dcterms:W3CDTF">2026-11-06T21:44:22Z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