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Концессионное соглашение</w:t>
      </w:r>
    </w:p>
    <w:p>
      <w:pPr>
        <w:pStyle w:val="FirstParagraph"/>
      </w:pPr>
      <w:r>
        <w:t xml:space="preserve">Концедент: Администрация муниципального образования «Городской округ»</w:t>
      </w:r>
    </w:p>
    <w:p>
      <w:pPr>
        <w:pStyle w:val="BodyText"/>
      </w:pPr>
      <w:r>
        <w:t xml:space="preserve">в лице главы администрации П. П. Петрова</w:t>
      </w:r>
    </w:p>
    <w:p>
      <w:pPr>
        <w:pStyle w:val="BodyText"/>
      </w:pPr>
      <w:r>
        <w:t xml:space="preserve">Концессионер: ООО «Теплосети»</w:t>
      </w:r>
    </w:p>
    <w:p>
      <w:pPr>
        <w:pStyle w:val="BodyText"/>
      </w:pPr>
      <w:r>
        <w:t xml:space="preserve">в лице генерального директора И. И. Иванова</w:t>
      </w:r>
    </w:p>
    <w:bookmarkStart w:id="10" w:name="концессионное-соглашение"/>
    <w:p>
      <w:pPr>
        <w:pStyle w:val="Heading1"/>
      </w:pPr>
      <w:r>
        <w:t xml:space="preserve">Концессионное соглашение</w:t>
      </w:r>
    </w:p>
    <w:bookmarkStart w:id="9" w:name="Xddcc19a6140a6f8f3bb52ed10c98f139647584f"/>
    <w:p>
      <w:pPr>
        <w:pStyle w:val="Heading2"/>
      </w:pPr>
      <w:r>
        <w:t xml:space="preserve">в отношении объекта коммунальной инфраструктуры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Концедент передаёт, а концессионер принимает во владение и пользование объект соглашения — котельную и тепловые сети по перечню в приложении № 1 — и обязуется за свой счёт реконструировать его в срок до 31 декабря 2028 года.</w:t>
      </w:r>
    </w:p>
    <w:p>
      <w:pPr>
        <w:pStyle w:val="BodyText"/>
      </w:pPr>
      <w:r>
        <w:t xml:space="preserve">Концессионер обязуется оказывать услуги теплоснабжения потребителям по требованиям, установленным приложением № 3, и представлять концеденту отчётность по форме приложения № 7 ежеквартально.</w:t>
      </w:r>
    </w:p>
    <w:p>
      <w:pPr>
        <w:pStyle w:val="BodyText"/>
      </w:pPr>
      <w:r>
        <w:t xml:space="preserve">Срок действия соглашения — 15 лет со дня подписания. Плата концессионера за пользование объектом составляет сумму, указанную в приложении № 4, и вносится в бюджет ежеквартально.</w:t>
      </w:r>
    </w:p>
    <w:p>
      <w:pPr>
        <w:pStyle w:val="BodyText"/>
      </w:pPr>
      <w:r>
        <w:t xml:space="preserve">Передача объекта концессионеру и возврат объекта концеденту оформляются актами по формам приложений № 9 и № 10.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Концедент</w:t>
            </w:r>
          </w:p>
          <w:p>
            <w:pPr>
              <w:pStyle w:val="BodyText"/>
            </w:pPr>
            <w:r>
              <w:t xml:space="preserve">Глава администрации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Концессионер</w:t>
            </w:r>
          </w:p>
          <w:p>
            <w:pPr>
              <w:pStyle w:val="BodyText"/>
            </w:pPr>
            <w:r>
              <w:t xml:space="preserve">Генеральный директор ООО «Теплосети»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Концессионное соглашение</dc:title>
  <dc:creator/>
  <dc:language>ru</dc:language>
  <cp:keywords/>
  <dcterms:created xsi:type="dcterms:W3CDTF">2026-10-28T22:22:27Z</dcterms:created>
  <dcterms:modified xsi:type="dcterms:W3CDTF">2026-10-28T22:22:27Z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