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Концессионное соглашение</w:t>
      </w:r>
    </w:p>
    <w:p>
      <w:pPr>
        <w:pStyle w:val="FirstParagraph"/>
      </w:pPr>
      <w:r>
        <w:t xml:space="preserve">Концедент: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Концессионер: 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концессионное-соглашение"/>
    <w:p>
      <w:pPr>
        <w:pStyle w:val="Heading1"/>
      </w:pPr>
      <w:r>
        <w:t xml:space="preserve">Концессионное соглашение</w:t>
      </w:r>
    </w:p>
    <w:bookmarkStart w:id="9" w:name="Xddcc19a6140a6f8f3bb52ed10c98f139647584f"/>
    <w:p>
      <w:pPr>
        <w:pStyle w:val="Heading2"/>
      </w:pPr>
      <w:r>
        <w:t xml:space="preserve">в отношении объекта коммунальной инфраструктуры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Объект соглашения: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Обязательства концессионера: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 и плата: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Передача и возврат объекта: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Концедент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Концессионер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Концессионное соглашение</dc:title>
  <dc:creator/>
  <dc:language>ru</dc:language>
  <cp:keywords/>
  <dcterms:created xsi:type="dcterms:W3CDTF">2026-10-28T22:22:27Z</dcterms:created>
  <dcterms:modified xsi:type="dcterms:W3CDTF">2026-10-28T22:22:27Z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