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кейтеринговое обслуживание</w:t>
      </w:r>
    </w:p>
    <w:p>
      <w:pPr>
        <w:pStyle w:val="FirstParagraph"/>
      </w:pPr>
      <w:r>
        <w:t xml:space="preserve">Заказчик: ____________________________________________</w:t>
      </w:r>
    </w:p>
    <w:p>
      <w:pPr>
        <w:pStyle w:val="BodyText"/>
      </w:pPr>
      <w:r>
        <w:t xml:space="preserve">Исполнитель: __________________________________________</w:t>
      </w:r>
    </w:p>
    <w:bookmarkStart w:id="10" w:name="договор-на-кейтеринговое-обслуживание"/>
    <w:p>
      <w:pPr>
        <w:pStyle w:val="Heading1"/>
      </w:pPr>
      <w:r>
        <w:t xml:space="preserve">Договор на кейтеринговое обслуживание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Предмет: 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Меню и порции: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Сроки и площадка: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Цена и оплата: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Отмена и возврат: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Качество и персонал: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Приёмка услуг: 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кейтеринговое обслуживание</dc:title>
  <dc:creator/>
  <dc:language>ru</dc:language>
  <cp:keywords/>
  <dcterms:created xsi:type="dcterms:W3CDTF">2026-11-04T20:31:34Z</dcterms:created>
  <dcterms:modified xsi:type="dcterms:W3CDTF">2026-11-04T20:31:34Z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